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20596" w14:textId="77777777" w:rsidR="008B6F45" w:rsidRPr="008B6F45" w:rsidRDefault="008B6F45" w:rsidP="008B6F45">
      <w:pPr>
        <w:adjustRightInd w:val="0"/>
        <w:jc w:val="center"/>
        <w:rPr>
          <w:rFonts w:ascii="Arial" w:hAnsi="Arial" w:cs="Arial"/>
          <w:b/>
          <w:bCs/>
          <w:sz w:val="26"/>
          <w:szCs w:val="26"/>
        </w:rPr>
      </w:pPr>
      <w:bookmarkStart w:id="0" w:name="_GoBack"/>
      <w:bookmarkEnd w:id="0"/>
      <w:r w:rsidRPr="008B6F45">
        <w:rPr>
          <w:rFonts w:ascii="Arial" w:hAnsi="Arial" w:cs="Arial"/>
          <w:b/>
          <w:bCs/>
          <w:sz w:val="26"/>
          <w:szCs w:val="26"/>
        </w:rPr>
        <w:t>[Annexure A – Settlement Notice]</w:t>
      </w:r>
    </w:p>
    <w:p w14:paraId="3FED17C5" w14:textId="77777777" w:rsidR="008B6F45" w:rsidRPr="008B6F45" w:rsidRDefault="008B6F45" w:rsidP="008B6F45">
      <w:pPr>
        <w:adjustRightInd w:val="0"/>
        <w:jc w:val="center"/>
        <w:rPr>
          <w:rFonts w:ascii="Arial" w:hAnsi="Arial" w:cs="Arial"/>
          <w:b/>
          <w:bCs/>
          <w:sz w:val="36"/>
          <w:szCs w:val="36"/>
        </w:rPr>
      </w:pPr>
    </w:p>
    <w:p w14:paraId="05B5B6F6" w14:textId="77777777" w:rsidR="008B6F45" w:rsidRPr="008B6F45" w:rsidRDefault="008B6F45" w:rsidP="008B6F45">
      <w:pPr>
        <w:adjustRightInd w:val="0"/>
        <w:jc w:val="center"/>
        <w:rPr>
          <w:rFonts w:ascii="Arial" w:hAnsi="Arial" w:cs="Arial"/>
          <w:b/>
          <w:bCs/>
          <w:sz w:val="36"/>
          <w:szCs w:val="36"/>
        </w:rPr>
      </w:pPr>
      <w:r w:rsidRPr="008B6F45">
        <w:rPr>
          <w:rFonts w:ascii="Arial" w:hAnsi="Arial" w:cs="Arial"/>
          <w:b/>
          <w:bCs/>
          <w:sz w:val="36"/>
          <w:szCs w:val="36"/>
        </w:rPr>
        <w:t>FEDERAL COURT OF AUSTRALIA</w:t>
      </w:r>
    </w:p>
    <w:p w14:paraId="2738BF67" w14:textId="77777777" w:rsidR="008B6F45" w:rsidRPr="008B6F45" w:rsidRDefault="008B6F45" w:rsidP="008B6F45">
      <w:pPr>
        <w:adjustRightInd w:val="0"/>
        <w:jc w:val="center"/>
        <w:rPr>
          <w:rFonts w:ascii="Arial" w:hAnsi="Arial" w:cs="Arial"/>
          <w:b/>
          <w:bCs/>
          <w:sz w:val="36"/>
          <w:szCs w:val="36"/>
        </w:rPr>
      </w:pPr>
      <w:r w:rsidRPr="008B6F45">
        <w:rPr>
          <w:rFonts w:ascii="Arial" w:hAnsi="Arial" w:cs="Arial"/>
          <w:b/>
          <w:bCs/>
          <w:sz w:val="36"/>
          <w:szCs w:val="36"/>
        </w:rPr>
        <w:t>NOTICE AS TO PROPOSED SETTLEMENT OF THE QUINTIS LTD CLASS ACTION</w:t>
      </w:r>
    </w:p>
    <w:p w14:paraId="4713A98F" w14:textId="77777777" w:rsidR="008B6F45" w:rsidRPr="008B6F45" w:rsidRDefault="008B6F45" w:rsidP="008B6F45">
      <w:pPr>
        <w:rPr>
          <w:rFonts w:ascii="Arial" w:hAnsi="Arial" w:cs="Arial"/>
          <w:b/>
          <w:bCs/>
          <w:sz w:val="22"/>
        </w:rPr>
      </w:pPr>
    </w:p>
    <w:p w14:paraId="585CB64E" w14:textId="77777777" w:rsidR="008B6F45" w:rsidRPr="008B6F45" w:rsidRDefault="008B6F45" w:rsidP="008B6F45">
      <w:pPr>
        <w:adjustRightInd w:val="0"/>
        <w:spacing w:line="360" w:lineRule="auto"/>
        <w:rPr>
          <w:rFonts w:ascii="Arial" w:hAnsi="Arial" w:cs="Arial"/>
          <w:b/>
          <w:bCs/>
          <w:color w:val="000000"/>
          <w:sz w:val="22"/>
        </w:rPr>
      </w:pPr>
    </w:p>
    <w:p w14:paraId="77CAA2A1" w14:textId="77777777" w:rsidR="008B6F45" w:rsidRPr="008B6F45" w:rsidRDefault="008B6F45" w:rsidP="008B6F45">
      <w:pPr>
        <w:adjustRightInd w:val="0"/>
        <w:spacing w:line="360" w:lineRule="auto"/>
        <w:rPr>
          <w:rFonts w:ascii="Arial" w:hAnsi="Arial" w:cs="Arial"/>
          <w:b/>
          <w:bCs/>
          <w:color w:val="000000"/>
          <w:sz w:val="22"/>
        </w:rPr>
      </w:pPr>
      <w:r w:rsidRPr="008B6F45">
        <w:rPr>
          <w:rFonts w:ascii="Arial" w:hAnsi="Arial" w:cs="Arial"/>
          <w:b/>
          <w:bCs/>
          <w:color w:val="000000"/>
          <w:sz w:val="22"/>
        </w:rPr>
        <w:t>A. Important Information</w:t>
      </w:r>
    </w:p>
    <w:p w14:paraId="33CDE197"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 xml:space="preserve">This notice </w:t>
      </w:r>
      <w:proofErr w:type="gramStart"/>
      <w:r w:rsidRPr="008B6F45">
        <w:rPr>
          <w:rFonts w:ascii="Arial" w:hAnsi="Arial" w:cs="Arial"/>
          <w:color w:val="000000"/>
          <w:sz w:val="22"/>
        </w:rPr>
        <w:t>has been published</w:t>
      </w:r>
      <w:proofErr w:type="gramEnd"/>
      <w:r w:rsidRPr="008B6F45">
        <w:rPr>
          <w:rFonts w:ascii="Arial" w:hAnsi="Arial" w:cs="Arial"/>
          <w:color w:val="000000"/>
          <w:sz w:val="22"/>
        </w:rPr>
        <w:t xml:space="preserve"> because a settlement has been reached with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Ltd (</w:t>
      </w:r>
      <w:proofErr w:type="spellStart"/>
      <w:r w:rsidRPr="008B6F45">
        <w:rPr>
          <w:rFonts w:ascii="Arial" w:hAnsi="Arial" w:cs="Arial"/>
          <w:b/>
          <w:bCs/>
          <w:color w:val="000000"/>
          <w:sz w:val="22"/>
        </w:rPr>
        <w:t>Quintis</w:t>
      </w:r>
      <w:proofErr w:type="spellEnd"/>
      <w:r w:rsidRPr="008B6F45">
        <w:rPr>
          <w:rFonts w:ascii="Arial" w:hAnsi="Arial" w:cs="Arial"/>
          <w:color w:val="000000"/>
          <w:sz w:val="22"/>
        </w:rPr>
        <w:t>) in relation to two shareholder class actions brought against it.</w:t>
      </w:r>
    </w:p>
    <w:p w14:paraId="7C54354B" w14:textId="77777777" w:rsidR="008B6F45" w:rsidRPr="008B6F45" w:rsidRDefault="008B6F45" w:rsidP="008B6F45">
      <w:pPr>
        <w:widowControl w:val="0"/>
        <w:autoSpaceDE w:val="0"/>
        <w:autoSpaceDN w:val="0"/>
        <w:adjustRightInd w:val="0"/>
        <w:ind w:left="360"/>
        <w:jc w:val="both"/>
        <w:rPr>
          <w:rFonts w:ascii="Arial" w:hAnsi="Arial" w:cs="Arial"/>
          <w:color w:val="000000"/>
          <w:sz w:val="22"/>
        </w:rPr>
      </w:pPr>
    </w:p>
    <w:p w14:paraId="458D7D79"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The two shareholder class actions are:</w:t>
      </w:r>
    </w:p>
    <w:p w14:paraId="60137547" w14:textId="77777777" w:rsidR="008B6F45" w:rsidRPr="008B6F45" w:rsidRDefault="008B6F45" w:rsidP="008B6F45">
      <w:pPr>
        <w:widowControl w:val="0"/>
        <w:autoSpaceDE w:val="0"/>
        <w:autoSpaceDN w:val="0"/>
        <w:adjustRightInd w:val="0"/>
        <w:spacing w:before="120"/>
        <w:ind w:left="850" w:hanging="493"/>
        <w:jc w:val="both"/>
        <w:rPr>
          <w:rFonts w:ascii="Arial" w:hAnsi="Arial" w:cs="Arial"/>
          <w:color w:val="000000"/>
          <w:sz w:val="22"/>
        </w:rPr>
      </w:pPr>
      <w:r w:rsidRPr="008B6F45">
        <w:rPr>
          <w:rFonts w:ascii="Arial" w:hAnsi="Arial" w:cs="Arial"/>
          <w:color w:val="000000"/>
          <w:sz w:val="22"/>
        </w:rPr>
        <w:t>(a)</w:t>
      </w:r>
      <w:r w:rsidRPr="008B6F45">
        <w:rPr>
          <w:rFonts w:ascii="Arial" w:hAnsi="Arial" w:cs="Arial"/>
          <w:color w:val="000000"/>
          <w:sz w:val="22"/>
        </w:rPr>
        <w:tab/>
        <w:t xml:space="preserve">Geoffrey Peter Davis v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which has been brought on behalf of persons who acquired an interest in ordinary shares in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in the period commencing on 31 August 2015 and concluding on 15 May 2017, including those persons who already had an interest in ordinary shares in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before 31 August 2015 (</w:t>
      </w:r>
      <w:r w:rsidRPr="008B6F45">
        <w:rPr>
          <w:rFonts w:ascii="Arial" w:hAnsi="Arial" w:cs="Arial"/>
          <w:b/>
          <w:bCs/>
          <w:color w:val="000000"/>
          <w:sz w:val="22"/>
        </w:rPr>
        <w:t>Davis Class Action</w:t>
      </w:r>
      <w:r w:rsidRPr="008B6F45">
        <w:rPr>
          <w:rFonts w:ascii="Arial" w:hAnsi="Arial" w:cs="Arial"/>
          <w:color w:val="000000"/>
          <w:sz w:val="22"/>
        </w:rPr>
        <w:t>); and</w:t>
      </w:r>
    </w:p>
    <w:p w14:paraId="65871B54" w14:textId="77777777" w:rsidR="008B6F45" w:rsidRPr="008B6F45" w:rsidRDefault="008B6F45" w:rsidP="008B6F45">
      <w:pPr>
        <w:widowControl w:val="0"/>
        <w:autoSpaceDE w:val="0"/>
        <w:autoSpaceDN w:val="0"/>
        <w:adjustRightInd w:val="0"/>
        <w:spacing w:before="120"/>
        <w:ind w:left="850" w:hanging="493"/>
        <w:jc w:val="both"/>
        <w:rPr>
          <w:rFonts w:ascii="Arial" w:hAnsi="Arial" w:cs="Arial"/>
          <w:color w:val="000000"/>
          <w:sz w:val="22"/>
        </w:rPr>
      </w:pPr>
      <w:r w:rsidRPr="008B6F45">
        <w:rPr>
          <w:rFonts w:ascii="Arial" w:hAnsi="Arial" w:cs="Arial"/>
          <w:color w:val="000000"/>
          <w:sz w:val="22"/>
        </w:rPr>
        <w:t>(b)</w:t>
      </w:r>
      <w:r w:rsidRPr="008B6F45">
        <w:rPr>
          <w:rFonts w:ascii="Arial" w:hAnsi="Arial" w:cs="Arial"/>
          <w:color w:val="000000"/>
          <w:sz w:val="22"/>
        </w:rPr>
        <w:tab/>
        <w:t xml:space="preserve">Excel Texel Pty Ltd v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w:t>
      </w:r>
      <w:proofErr w:type="gramStart"/>
      <w:r w:rsidRPr="008B6F45">
        <w:rPr>
          <w:rFonts w:ascii="Arial" w:hAnsi="Arial" w:cs="Arial"/>
          <w:color w:val="000000"/>
          <w:sz w:val="22"/>
        </w:rPr>
        <w:t>which</w:t>
      </w:r>
      <w:proofErr w:type="gramEnd"/>
      <w:r w:rsidRPr="008B6F45">
        <w:rPr>
          <w:rFonts w:ascii="Arial" w:hAnsi="Arial" w:cs="Arial"/>
          <w:color w:val="000000"/>
          <w:sz w:val="22"/>
        </w:rPr>
        <w:t xml:space="preserve"> has been brought on behalf of a subset of persons who acquired an interest in ordinary shares in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between 1 July 2015 and 10 May 2017 (</w:t>
      </w:r>
      <w:r w:rsidRPr="008B6F45">
        <w:rPr>
          <w:rFonts w:ascii="Arial" w:hAnsi="Arial" w:cs="Arial"/>
          <w:b/>
          <w:bCs/>
          <w:color w:val="000000"/>
          <w:sz w:val="22"/>
        </w:rPr>
        <w:t>Excel Texel Class Action</w:t>
      </w:r>
      <w:r w:rsidRPr="008B6F45">
        <w:rPr>
          <w:rFonts w:ascii="Arial" w:hAnsi="Arial" w:cs="Arial"/>
          <w:color w:val="000000"/>
          <w:sz w:val="22"/>
        </w:rPr>
        <w:t xml:space="preserve">). </w:t>
      </w:r>
    </w:p>
    <w:p w14:paraId="0B304CFF" w14:textId="77777777" w:rsidR="008B6F45" w:rsidRPr="008B6F45" w:rsidRDefault="008B6F45" w:rsidP="008B6F45">
      <w:pPr>
        <w:widowControl w:val="0"/>
        <w:autoSpaceDE w:val="0"/>
        <w:autoSpaceDN w:val="0"/>
        <w:adjustRightInd w:val="0"/>
        <w:ind w:left="360"/>
        <w:jc w:val="both"/>
        <w:rPr>
          <w:rFonts w:ascii="Arial" w:hAnsi="Arial" w:cs="Arial"/>
          <w:color w:val="000000"/>
          <w:sz w:val="22"/>
        </w:rPr>
      </w:pPr>
    </w:p>
    <w:p w14:paraId="57068031"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The solicitors acting for the applicants in the Davis Class Action are Piper Alderman, and a company called LCM Operations Pty Ltd is funding that case.</w:t>
      </w:r>
    </w:p>
    <w:p w14:paraId="2F70C26D" w14:textId="77777777" w:rsidR="008B6F45" w:rsidRPr="008B6F45" w:rsidRDefault="008B6F45" w:rsidP="008B6F45">
      <w:pPr>
        <w:widowControl w:val="0"/>
        <w:autoSpaceDE w:val="0"/>
        <w:autoSpaceDN w:val="0"/>
        <w:adjustRightInd w:val="0"/>
        <w:ind w:left="360"/>
        <w:jc w:val="both"/>
        <w:rPr>
          <w:rFonts w:ascii="Arial" w:hAnsi="Arial" w:cs="Arial"/>
          <w:color w:val="000000"/>
          <w:sz w:val="22"/>
        </w:rPr>
      </w:pPr>
    </w:p>
    <w:p w14:paraId="13DF9549"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 xml:space="preserve">The solicitors acting for the applicants in the Excel Texel Class Action are </w:t>
      </w:r>
      <w:proofErr w:type="spellStart"/>
      <w:r w:rsidRPr="008B6F45">
        <w:rPr>
          <w:rFonts w:ascii="Arial" w:hAnsi="Arial" w:cs="Arial"/>
          <w:color w:val="000000"/>
          <w:sz w:val="22"/>
        </w:rPr>
        <w:t>Gadens</w:t>
      </w:r>
      <w:proofErr w:type="spellEnd"/>
      <w:r w:rsidRPr="008B6F45">
        <w:rPr>
          <w:rFonts w:ascii="Arial" w:hAnsi="Arial" w:cs="Arial"/>
          <w:color w:val="000000"/>
          <w:sz w:val="22"/>
        </w:rPr>
        <w:t>, and a company called Ironbark Funding Navy Pty Ltd is funding that case.</w:t>
      </w:r>
    </w:p>
    <w:p w14:paraId="036EC227" w14:textId="77777777" w:rsidR="008B6F45" w:rsidRPr="008B6F45" w:rsidRDefault="008B6F45" w:rsidP="008B6F45">
      <w:pPr>
        <w:widowControl w:val="0"/>
        <w:autoSpaceDE w:val="0"/>
        <w:autoSpaceDN w:val="0"/>
        <w:adjustRightInd w:val="0"/>
        <w:ind w:left="360"/>
        <w:jc w:val="both"/>
        <w:rPr>
          <w:rFonts w:ascii="Arial" w:hAnsi="Arial" w:cs="Arial"/>
          <w:color w:val="000000"/>
          <w:sz w:val="22"/>
        </w:rPr>
      </w:pPr>
    </w:p>
    <w:p w14:paraId="4B1B0139"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A judge of the Federal Court of Australia (</w:t>
      </w:r>
      <w:r w:rsidRPr="008B6F45">
        <w:rPr>
          <w:rFonts w:ascii="Arial" w:hAnsi="Arial" w:cs="Arial"/>
          <w:b/>
          <w:bCs/>
          <w:color w:val="000000"/>
          <w:sz w:val="22"/>
        </w:rPr>
        <w:t>Federal Court</w:t>
      </w:r>
      <w:r w:rsidRPr="008B6F45">
        <w:rPr>
          <w:rFonts w:ascii="Arial" w:hAnsi="Arial" w:cs="Arial"/>
          <w:color w:val="000000"/>
          <w:sz w:val="22"/>
        </w:rPr>
        <w:t xml:space="preserve">) must decide whether the settlement with </w:t>
      </w:r>
      <w:proofErr w:type="spellStart"/>
      <w:r w:rsidRPr="008B6F45">
        <w:rPr>
          <w:rFonts w:ascii="Arial" w:hAnsi="Arial" w:cs="Arial"/>
          <w:color w:val="000000"/>
          <w:sz w:val="22"/>
        </w:rPr>
        <w:t>Quintis</w:t>
      </w:r>
      <w:proofErr w:type="spellEnd"/>
      <w:r w:rsidRPr="008B6F45">
        <w:rPr>
          <w:rFonts w:ascii="Arial" w:hAnsi="Arial" w:cs="Arial"/>
          <w:color w:val="000000"/>
          <w:sz w:val="22"/>
        </w:rPr>
        <w:t xml:space="preserve"> is reasonable.  The judge will have a hearing at 10:15am on 7 May 2020 to decide whether the settlement is reasonable.</w:t>
      </w:r>
    </w:p>
    <w:p w14:paraId="660AC43E" w14:textId="77777777" w:rsidR="008B6F45" w:rsidRPr="008B6F45" w:rsidRDefault="008B6F45" w:rsidP="008B6F45">
      <w:pPr>
        <w:widowControl w:val="0"/>
        <w:autoSpaceDE w:val="0"/>
        <w:autoSpaceDN w:val="0"/>
        <w:adjustRightInd w:val="0"/>
        <w:ind w:left="360"/>
        <w:jc w:val="both"/>
        <w:rPr>
          <w:rFonts w:ascii="Arial" w:hAnsi="Arial" w:cs="Arial"/>
          <w:color w:val="000000"/>
          <w:sz w:val="22"/>
        </w:rPr>
      </w:pPr>
    </w:p>
    <w:p w14:paraId="461764E0" w14:textId="77777777" w:rsidR="008B6F45" w:rsidRPr="008B6F45" w:rsidRDefault="008B6F45" w:rsidP="008B6F45">
      <w:pPr>
        <w:widowControl w:val="0"/>
        <w:numPr>
          <w:ilvl w:val="0"/>
          <w:numId w:val="5"/>
        </w:numPr>
        <w:autoSpaceDE w:val="0"/>
        <w:autoSpaceDN w:val="0"/>
        <w:adjustRightInd w:val="0"/>
        <w:ind w:left="360" w:hanging="360"/>
        <w:jc w:val="both"/>
        <w:rPr>
          <w:rFonts w:ascii="Arial" w:hAnsi="Arial" w:cs="Arial"/>
          <w:color w:val="000000"/>
          <w:sz w:val="22"/>
        </w:rPr>
      </w:pPr>
      <w:r w:rsidRPr="008B6F45">
        <w:rPr>
          <w:rFonts w:ascii="Arial" w:hAnsi="Arial" w:cs="Arial"/>
          <w:color w:val="000000"/>
          <w:sz w:val="22"/>
        </w:rPr>
        <w:t>This notice, if approved by the Federal Court, explains some things about the settlement to allow you to work out whether you agree or disagree with it.</w:t>
      </w:r>
    </w:p>
    <w:p w14:paraId="0A85C3DD" w14:textId="77777777" w:rsidR="008B6F45" w:rsidRPr="008B6F45" w:rsidRDefault="008B6F45" w:rsidP="008B6F45">
      <w:pPr>
        <w:widowControl w:val="0"/>
        <w:autoSpaceDE w:val="0"/>
        <w:autoSpaceDN w:val="0"/>
        <w:adjustRightInd w:val="0"/>
        <w:jc w:val="both"/>
        <w:rPr>
          <w:rFonts w:ascii="Arial" w:hAnsi="Arial" w:cs="Arial"/>
          <w:color w:val="000000"/>
          <w:sz w:val="22"/>
        </w:rPr>
      </w:pPr>
    </w:p>
    <w:p w14:paraId="48B7AAA2" w14:textId="77777777" w:rsidR="008B6F45" w:rsidRPr="008B6F45" w:rsidRDefault="008B6F45" w:rsidP="008B6F45">
      <w:pPr>
        <w:adjustRightInd w:val="0"/>
        <w:spacing w:line="360" w:lineRule="auto"/>
        <w:rPr>
          <w:rFonts w:ascii="Arial" w:hAnsi="Arial" w:cs="Arial"/>
          <w:b/>
          <w:bCs/>
          <w:color w:val="000000"/>
          <w:sz w:val="22"/>
        </w:rPr>
      </w:pPr>
      <w:r w:rsidRPr="008B6F45">
        <w:rPr>
          <w:rFonts w:ascii="Arial" w:hAnsi="Arial" w:cs="Arial"/>
          <w:b/>
          <w:bCs/>
          <w:color w:val="000000"/>
          <w:sz w:val="22"/>
        </w:rPr>
        <w:t>B. What is the settlement?</w:t>
      </w:r>
    </w:p>
    <w:p w14:paraId="4919EF47" w14:textId="6AEB5D79" w:rsidR="008B6F45" w:rsidRPr="008B6F45" w:rsidRDefault="008B6F45" w:rsidP="008B6F45">
      <w:pPr>
        <w:widowControl w:val="0"/>
        <w:numPr>
          <w:ilvl w:val="0"/>
          <w:numId w:val="5"/>
        </w:numPr>
        <w:autoSpaceDE w:val="0"/>
        <w:autoSpaceDN w:val="0"/>
        <w:adjustRightInd w:val="0"/>
        <w:ind w:left="360" w:hanging="360"/>
        <w:jc w:val="both"/>
        <w:rPr>
          <w:rFonts w:ascii="Arial" w:eastAsia="Calibri" w:hAnsi="Arial" w:cs="Arial"/>
          <w:color w:val="000000"/>
          <w:sz w:val="22"/>
          <w:szCs w:val="22"/>
        </w:rPr>
      </w:pPr>
      <w:proofErr w:type="spellStart"/>
      <w:r w:rsidRPr="008B6F45">
        <w:rPr>
          <w:rFonts w:ascii="Arial" w:eastAsia="Calibri" w:hAnsi="Arial" w:cs="Arial"/>
          <w:color w:val="000000"/>
          <w:sz w:val="22"/>
          <w:szCs w:val="22"/>
        </w:rPr>
        <w:t>Quintis</w:t>
      </w:r>
      <w:proofErr w:type="spellEnd"/>
      <w:r w:rsidRPr="008B6F45">
        <w:rPr>
          <w:rFonts w:ascii="Arial" w:eastAsia="Calibri" w:hAnsi="Arial" w:cs="Arial"/>
          <w:color w:val="000000"/>
          <w:sz w:val="22"/>
          <w:szCs w:val="22"/>
        </w:rPr>
        <w:t xml:space="preserve"> has agreed to pay the balance remaining of the sublimit of </w:t>
      </w:r>
      <w:proofErr w:type="spellStart"/>
      <w:r w:rsidRPr="008B6F45">
        <w:rPr>
          <w:rFonts w:ascii="Arial" w:eastAsia="Calibri" w:hAnsi="Arial" w:cs="Arial"/>
          <w:color w:val="000000"/>
          <w:sz w:val="22"/>
          <w:szCs w:val="22"/>
        </w:rPr>
        <w:t>Quintis</w:t>
      </w:r>
      <w:proofErr w:type="spellEnd"/>
      <w:r w:rsidRPr="008B6F45">
        <w:rPr>
          <w:rFonts w:ascii="Arial" w:eastAsia="Calibri" w:hAnsi="Arial" w:cs="Arial"/>
          <w:color w:val="000000"/>
          <w:sz w:val="22"/>
          <w:szCs w:val="22"/>
        </w:rPr>
        <w:t>’ insurance to settle both the Davis Class Action and the Excel Texel Class Action, which is approximately $4.37 million (</w:t>
      </w:r>
      <w:r w:rsidRPr="008B6F45">
        <w:rPr>
          <w:rFonts w:ascii="Arial" w:eastAsia="Calibri" w:hAnsi="Arial" w:cs="Arial"/>
          <w:b/>
          <w:bCs/>
          <w:color w:val="000000"/>
          <w:sz w:val="22"/>
          <w:szCs w:val="22"/>
        </w:rPr>
        <w:t>Settlement Sum</w:t>
      </w:r>
      <w:r w:rsidR="00025CD6">
        <w:rPr>
          <w:rFonts w:ascii="Arial" w:eastAsia="Calibri" w:hAnsi="Arial" w:cs="Arial"/>
          <w:color w:val="000000"/>
          <w:sz w:val="22"/>
          <w:szCs w:val="22"/>
        </w:rPr>
        <w:t xml:space="preserve">). </w:t>
      </w:r>
      <w:r w:rsidRPr="008B6F45">
        <w:rPr>
          <w:rFonts w:ascii="Arial" w:eastAsia="Calibri" w:hAnsi="Arial" w:cs="Arial"/>
          <w:color w:val="000000"/>
          <w:sz w:val="22"/>
          <w:szCs w:val="22"/>
        </w:rPr>
        <w:t xml:space="preserve">The Settlement Sum is the only available asset of </w:t>
      </w:r>
      <w:proofErr w:type="spellStart"/>
      <w:r w:rsidRPr="008B6F45">
        <w:rPr>
          <w:rFonts w:ascii="Arial" w:eastAsia="Calibri" w:hAnsi="Arial" w:cs="Arial"/>
          <w:color w:val="000000"/>
          <w:sz w:val="22"/>
          <w:szCs w:val="22"/>
        </w:rPr>
        <w:t>Quintis</w:t>
      </w:r>
      <w:proofErr w:type="spellEnd"/>
      <w:r w:rsidRPr="008B6F45">
        <w:rPr>
          <w:rFonts w:ascii="Arial" w:eastAsia="Calibri" w:hAnsi="Arial" w:cs="Arial"/>
          <w:color w:val="000000"/>
          <w:sz w:val="22"/>
          <w:szCs w:val="22"/>
        </w:rPr>
        <w:t xml:space="preserve"> to meet the claims of the Davis Class Action and the Excel Texel Class Action.  The applicants in the Davis Class Action </w:t>
      </w:r>
      <w:proofErr w:type="gramStart"/>
      <w:r w:rsidRPr="008B6F45">
        <w:rPr>
          <w:rFonts w:ascii="Arial" w:eastAsia="Calibri" w:hAnsi="Arial" w:cs="Arial"/>
          <w:color w:val="000000"/>
          <w:sz w:val="22"/>
          <w:szCs w:val="22"/>
        </w:rPr>
        <w:t>will, at the hearing before the Federal Court at 10:15am on 7 May 2020, seek</w:t>
      </w:r>
      <w:proofErr w:type="gramEnd"/>
      <w:r w:rsidRPr="008B6F45">
        <w:rPr>
          <w:rFonts w:ascii="Arial" w:eastAsia="Calibri" w:hAnsi="Arial" w:cs="Arial"/>
          <w:color w:val="000000"/>
          <w:sz w:val="22"/>
          <w:szCs w:val="22"/>
        </w:rPr>
        <w:t xml:space="preserve"> approval of the settlement that was reached with </w:t>
      </w:r>
      <w:proofErr w:type="spellStart"/>
      <w:r w:rsidRPr="008B6F45">
        <w:rPr>
          <w:rFonts w:ascii="Arial" w:eastAsia="Calibri" w:hAnsi="Arial" w:cs="Arial"/>
          <w:color w:val="000000"/>
          <w:sz w:val="22"/>
          <w:szCs w:val="22"/>
        </w:rPr>
        <w:t>Quintis</w:t>
      </w:r>
      <w:proofErr w:type="spellEnd"/>
      <w:r w:rsidRPr="008B6F45">
        <w:rPr>
          <w:rFonts w:ascii="Arial" w:eastAsia="Calibri" w:hAnsi="Arial" w:cs="Arial"/>
          <w:color w:val="000000"/>
          <w:sz w:val="22"/>
          <w:szCs w:val="22"/>
        </w:rPr>
        <w:t>.</w:t>
      </w:r>
    </w:p>
    <w:p w14:paraId="02FD5C40" w14:textId="77777777" w:rsidR="008B6F45" w:rsidRPr="008B6F45" w:rsidRDefault="008B6F45" w:rsidP="008B6F45">
      <w:pPr>
        <w:widowControl w:val="0"/>
        <w:autoSpaceDE w:val="0"/>
        <w:autoSpaceDN w:val="0"/>
        <w:adjustRightInd w:val="0"/>
        <w:ind w:left="360"/>
        <w:jc w:val="both"/>
        <w:rPr>
          <w:rFonts w:ascii="Arial" w:eastAsia="Calibri" w:hAnsi="Arial" w:cs="Arial"/>
          <w:color w:val="000000"/>
          <w:sz w:val="22"/>
          <w:szCs w:val="22"/>
        </w:rPr>
      </w:pPr>
    </w:p>
    <w:p w14:paraId="4CC8B47A" w14:textId="77777777" w:rsidR="008B6F45" w:rsidRPr="008B6F45" w:rsidRDefault="008B6F45" w:rsidP="008B6F45">
      <w:pPr>
        <w:widowControl w:val="0"/>
        <w:numPr>
          <w:ilvl w:val="0"/>
          <w:numId w:val="5"/>
        </w:numPr>
        <w:autoSpaceDE w:val="0"/>
        <w:autoSpaceDN w:val="0"/>
        <w:adjustRightInd w:val="0"/>
        <w:ind w:left="360" w:hanging="360"/>
        <w:jc w:val="both"/>
        <w:rPr>
          <w:rFonts w:ascii="Arial" w:eastAsia="Calibri" w:hAnsi="Arial" w:cs="Arial"/>
          <w:color w:val="000000"/>
          <w:sz w:val="22"/>
          <w:szCs w:val="22"/>
        </w:rPr>
      </w:pPr>
      <w:r w:rsidRPr="008B6F45">
        <w:rPr>
          <w:rFonts w:ascii="Arial" w:eastAsia="Calibri" w:hAnsi="Arial" w:cs="Arial"/>
          <w:color w:val="000000"/>
          <w:sz w:val="22"/>
          <w:szCs w:val="22"/>
        </w:rPr>
        <w:t xml:space="preserve">The settlement with </w:t>
      </w:r>
      <w:proofErr w:type="spellStart"/>
      <w:r w:rsidRPr="008B6F45">
        <w:rPr>
          <w:rFonts w:ascii="Arial" w:eastAsia="Calibri" w:hAnsi="Arial" w:cs="Arial"/>
          <w:color w:val="000000"/>
          <w:sz w:val="22"/>
          <w:szCs w:val="22"/>
        </w:rPr>
        <w:t>Quintis</w:t>
      </w:r>
      <w:proofErr w:type="spellEnd"/>
      <w:r w:rsidRPr="008B6F45">
        <w:rPr>
          <w:rFonts w:ascii="Arial" w:eastAsia="Calibri" w:hAnsi="Arial" w:cs="Arial"/>
          <w:color w:val="000000"/>
          <w:sz w:val="22"/>
          <w:szCs w:val="22"/>
        </w:rPr>
        <w:t xml:space="preserve"> does not allocate the proportion of the Settlement Sum that is to </w:t>
      </w:r>
      <w:proofErr w:type="gramStart"/>
      <w:r w:rsidRPr="008B6F45">
        <w:rPr>
          <w:rFonts w:ascii="Arial" w:eastAsia="Calibri" w:hAnsi="Arial" w:cs="Arial"/>
          <w:color w:val="000000"/>
          <w:sz w:val="22"/>
          <w:szCs w:val="22"/>
        </w:rPr>
        <w:t>be distributed</w:t>
      </w:r>
      <w:proofErr w:type="gramEnd"/>
      <w:r w:rsidRPr="008B6F45">
        <w:rPr>
          <w:rFonts w:ascii="Arial" w:eastAsia="Calibri" w:hAnsi="Arial" w:cs="Arial"/>
          <w:color w:val="000000"/>
          <w:sz w:val="22"/>
          <w:szCs w:val="22"/>
        </w:rPr>
        <w:t xml:space="preserve"> between the Davis Class Action and the Excel Texel Class Action.  An agreement </w:t>
      </w:r>
      <w:proofErr w:type="gramStart"/>
      <w:r w:rsidRPr="008B6F45">
        <w:rPr>
          <w:rFonts w:ascii="Arial" w:eastAsia="Calibri" w:hAnsi="Arial" w:cs="Arial"/>
          <w:color w:val="000000"/>
          <w:sz w:val="22"/>
          <w:szCs w:val="22"/>
        </w:rPr>
        <w:t>has not been reached</w:t>
      </w:r>
      <w:proofErr w:type="gramEnd"/>
      <w:r w:rsidRPr="008B6F45">
        <w:rPr>
          <w:rFonts w:ascii="Arial" w:eastAsia="Calibri" w:hAnsi="Arial" w:cs="Arial"/>
          <w:color w:val="000000"/>
          <w:sz w:val="22"/>
          <w:szCs w:val="22"/>
        </w:rPr>
        <w:t xml:space="preserve"> with the applicants in the Davis Class Action and the applicants in the Excel Texel Class Action as to how the Settlement Sum should be </w:t>
      </w:r>
      <w:r w:rsidRPr="008B6F45">
        <w:rPr>
          <w:rFonts w:ascii="Arial" w:eastAsia="Calibri" w:hAnsi="Arial" w:cs="Arial"/>
          <w:color w:val="000000"/>
          <w:sz w:val="22"/>
          <w:szCs w:val="22"/>
        </w:rPr>
        <w:lastRenderedPageBreak/>
        <w:t xml:space="preserve">allocated between the two class actions.  </w:t>
      </w:r>
    </w:p>
    <w:p w14:paraId="4AC09320" w14:textId="77777777" w:rsidR="008B6F45" w:rsidRPr="008B6F45" w:rsidRDefault="008B6F45" w:rsidP="008B6F45">
      <w:pPr>
        <w:widowControl w:val="0"/>
        <w:autoSpaceDE w:val="0"/>
        <w:autoSpaceDN w:val="0"/>
        <w:adjustRightInd w:val="0"/>
        <w:ind w:left="360"/>
        <w:jc w:val="both"/>
        <w:rPr>
          <w:rFonts w:ascii="Arial" w:eastAsia="Calibri" w:hAnsi="Arial" w:cs="Arial"/>
          <w:color w:val="000000"/>
          <w:sz w:val="22"/>
          <w:szCs w:val="22"/>
        </w:rPr>
      </w:pPr>
    </w:p>
    <w:p w14:paraId="58D90532" w14:textId="14B47CD6" w:rsidR="008B6F45" w:rsidRPr="008B6F45" w:rsidRDefault="008B6F45" w:rsidP="008B6F45">
      <w:pPr>
        <w:widowControl w:val="0"/>
        <w:numPr>
          <w:ilvl w:val="0"/>
          <w:numId w:val="5"/>
        </w:numPr>
        <w:autoSpaceDE w:val="0"/>
        <w:autoSpaceDN w:val="0"/>
        <w:adjustRightInd w:val="0"/>
        <w:ind w:left="360" w:hanging="360"/>
        <w:jc w:val="both"/>
        <w:rPr>
          <w:rFonts w:ascii="Arial" w:eastAsia="Calibri" w:hAnsi="Arial" w:cs="Arial"/>
          <w:color w:val="000000"/>
          <w:sz w:val="22"/>
          <w:szCs w:val="22"/>
        </w:rPr>
      </w:pPr>
      <w:r w:rsidRPr="008B6F45">
        <w:rPr>
          <w:rFonts w:ascii="Arial" w:eastAsia="Calibri" w:hAnsi="Arial" w:cs="Arial"/>
          <w:color w:val="000000"/>
          <w:sz w:val="22"/>
          <w:szCs w:val="22"/>
        </w:rPr>
        <w:t>The applicants in the Excel Texel Class Action have indicated that they will seek an order at the hearing at 10</w:t>
      </w:r>
      <w:r w:rsidR="00025CD6">
        <w:rPr>
          <w:rFonts w:ascii="Arial" w:eastAsia="Calibri" w:hAnsi="Arial" w:cs="Arial"/>
          <w:color w:val="000000"/>
          <w:sz w:val="22"/>
          <w:szCs w:val="22"/>
        </w:rPr>
        <w:t>:</w:t>
      </w:r>
      <w:r w:rsidRPr="008B6F45">
        <w:rPr>
          <w:rFonts w:ascii="Arial" w:eastAsia="Calibri" w:hAnsi="Arial" w:cs="Arial"/>
          <w:color w:val="000000"/>
          <w:sz w:val="22"/>
          <w:szCs w:val="22"/>
        </w:rPr>
        <w:t xml:space="preserve">15am on 7 May 2020 that the Federal Court allocate 50% of the Settlement Sum to the Excel Texel Class Action.  </w:t>
      </w:r>
      <w:proofErr w:type="gramStart"/>
      <w:r w:rsidRPr="008B6F45">
        <w:rPr>
          <w:rFonts w:ascii="Arial" w:eastAsia="Calibri" w:hAnsi="Arial" w:cs="Arial"/>
          <w:color w:val="000000"/>
          <w:sz w:val="22"/>
          <w:szCs w:val="22"/>
        </w:rPr>
        <w:t>That is opposed by the applicants in the Davis Class Action</w:t>
      </w:r>
      <w:proofErr w:type="gramEnd"/>
      <w:r w:rsidRPr="008B6F45">
        <w:rPr>
          <w:rFonts w:ascii="Arial" w:eastAsia="Calibri" w:hAnsi="Arial" w:cs="Arial"/>
          <w:color w:val="000000"/>
          <w:sz w:val="22"/>
          <w:szCs w:val="22"/>
        </w:rPr>
        <w:t>.  The position of the applicants in the Davis Class Action is that any allocation between the two class actions is premature at this stage of the proceedings.</w:t>
      </w:r>
    </w:p>
    <w:p w14:paraId="18A92F73" w14:textId="77777777" w:rsidR="008B6F45" w:rsidRPr="008B6F45" w:rsidRDefault="008B6F45" w:rsidP="008B6F45">
      <w:pPr>
        <w:widowControl w:val="0"/>
        <w:autoSpaceDE w:val="0"/>
        <w:autoSpaceDN w:val="0"/>
        <w:adjustRightInd w:val="0"/>
        <w:jc w:val="both"/>
        <w:rPr>
          <w:rFonts w:ascii="Arial" w:hAnsi="Arial" w:cs="Arial"/>
          <w:color w:val="000000"/>
          <w:sz w:val="22"/>
        </w:rPr>
      </w:pPr>
    </w:p>
    <w:p w14:paraId="2D8E11EA" w14:textId="77777777" w:rsidR="008B6F45" w:rsidRPr="008B6F45" w:rsidRDefault="008B6F45" w:rsidP="008B6F45">
      <w:pPr>
        <w:adjustRightInd w:val="0"/>
        <w:spacing w:line="360" w:lineRule="auto"/>
        <w:rPr>
          <w:rFonts w:ascii="Arial" w:hAnsi="Arial" w:cs="Arial"/>
          <w:b/>
          <w:bCs/>
          <w:color w:val="000000"/>
          <w:sz w:val="22"/>
        </w:rPr>
      </w:pPr>
      <w:r w:rsidRPr="008B6F45">
        <w:rPr>
          <w:rFonts w:ascii="Arial" w:hAnsi="Arial" w:cs="Arial"/>
          <w:b/>
          <w:bCs/>
          <w:color w:val="000000"/>
          <w:sz w:val="22"/>
        </w:rPr>
        <w:t>C. What do I need to do?</w:t>
      </w:r>
    </w:p>
    <w:tbl>
      <w:tblPr>
        <w:tblStyle w:val="TableGrid1"/>
        <w:tblW w:w="0" w:type="auto"/>
        <w:tblInd w:w="360" w:type="dxa"/>
        <w:tblLook w:val="04A0" w:firstRow="1" w:lastRow="0" w:firstColumn="1" w:lastColumn="0" w:noHBand="0" w:noVBand="1"/>
      </w:tblPr>
      <w:tblGrid>
        <w:gridCol w:w="2504"/>
        <w:gridCol w:w="6152"/>
      </w:tblGrid>
      <w:tr w:rsidR="008B6F45" w:rsidRPr="008B6F45" w14:paraId="5E1C20F5" w14:textId="77777777" w:rsidTr="00DA4B80">
        <w:tc>
          <w:tcPr>
            <w:tcW w:w="2569" w:type="dxa"/>
          </w:tcPr>
          <w:p w14:paraId="3E520E42" w14:textId="77777777" w:rsidR="008B6F45" w:rsidRPr="008B6F45" w:rsidRDefault="008B6F45" w:rsidP="008B6F45">
            <w:pPr>
              <w:tabs>
                <w:tab w:val="left" w:pos="3773"/>
              </w:tabs>
              <w:adjustRightInd w:val="0"/>
              <w:ind w:right="454"/>
              <w:contextualSpacing/>
              <w:rPr>
                <w:rFonts w:cs="Arial"/>
                <w:i/>
                <w:color w:val="000000"/>
                <w:sz w:val="22"/>
                <w:szCs w:val="22"/>
              </w:rPr>
            </w:pPr>
            <w:r w:rsidRPr="008B6F45">
              <w:rPr>
                <w:rFonts w:cs="Arial"/>
                <w:i/>
                <w:color w:val="000000"/>
                <w:sz w:val="22"/>
                <w:szCs w:val="22"/>
              </w:rPr>
              <w:t xml:space="preserve">If you </w:t>
            </w:r>
            <w:r w:rsidRPr="008B6F45">
              <w:rPr>
                <w:rFonts w:cs="Arial"/>
                <w:i/>
                <w:color w:val="000000"/>
                <w:sz w:val="22"/>
                <w:szCs w:val="22"/>
                <w:u w:val="single"/>
              </w:rPr>
              <w:t>support</w:t>
            </w:r>
            <w:r w:rsidRPr="008B6F45">
              <w:rPr>
                <w:rFonts w:cs="Arial"/>
                <w:i/>
                <w:color w:val="000000"/>
                <w:sz w:val="22"/>
                <w:szCs w:val="22"/>
              </w:rPr>
              <w:t xml:space="preserve"> the proposed settlement with </w:t>
            </w:r>
            <w:proofErr w:type="spellStart"/>
            <w:r w:rsidRPr="008B6F45">
              <w:rPr>
                <w:rFonts w:cs="Arial"/>
                <w:i/>
                <w:color w:val="000000"/>
                <w:sz w:val="22"/>
                <w:szCs w:val="22"/>
              </w:rPr>
              <w:t>Quintis</w:t>
            </w:r>
            <w:proofErr w:type="spellEnd"/>
          </w:p>
          <w:p w14:paraId="6CF9C20E" w14:textId="77777777" w:rsidR="008B6F45" w:rsidRPr="008B6F45" w:rsidRDefault="008B6F45" w:rsidP="008B6F45">
            <w:pPr>
              <w:tabs>
                <w:tab w:val="left" w:pos="3773"/>
              </w:tabs>
              <w:adjustRightInd w:val="0"/>
              <w:ind w:right="454"/>
              <w:contextualSpacing/>
              <w:rPr>
                <w:rFonts w:cs="Arial"/>
                <w:i/>
                <w:color w:val="000000"/>
                <w:sz w:val="22"/>
                <w:szCs w:val="22"/>
              </w:rPr>
            </w:pPr>
          </w:p>
        </w:tc>
        <w:tc>
          <w:tcPr>
            <w:tcW w:w="6418" w:type="dxa"/>
          </w:tcPr>
          <w:p w14:paraId="4496893F" w14:textId="77777777" w:rsidR="008B6F45" w:rsidRPr="008B6F45" w:rsidRDefault="008B6F45" w:rsidP="008B6F45">
            <w:pPr>
              <w:numPr>
                <w:ilvl w:val="0"/>
                <w:numId w:val="4"/>
              </w:numPr>
              <w:adjustRightInd w:val="0"/>
              <w:rPr>
                <w:rFonts w:cs="Arial"/>
                <w:color w:val="000000"/>
                <w:sz w:val="22"/>
                <w:szCs w:val="22"/>
              </w:rPr>
            </w:pPr>
            <w:r w:rsidRPr="008B6F45">
              <w:rPr>
                <w:rFonts w:cs="Arial"/>
                <w:color w:val="000000"/>
                <w:sz w:val="22"/>
                <w:szCs w:val="22"/>
              </w:rPr>
              <w:t>You do not have to do anything.</w:t>
            </w:r>
          </w:p>
        </w:tc>
      </w:tr>
      <w:tr w:rsidR="008B6F45" w:rsidRPr="008B6F45" w14:paraId="7D75A292" w14:textId="77777777" w:rsidTr="00DA4B80">
        <w:tc>
          <w:tcPr>
            <w:tcW w:w="2569" w:type="dxa"/>
          </w:tcPr>
          <w:p w14:paraId="7829467E" w14:textId="77777777" w:rsidR="008B6F45" w:rsidRPr="008B6F45" w:rsidRDefault="008B6F45" w:rsidP="008B6F45">
            <w:pPr>
              <w:tabs>
                <w:tab w:val="left" w:pos="3773"/>
              </w:tabs>
              <w:adjustRightInd w:val="0"/>
              <w:ind w:right="454"/>
              <w:contextualSpacing/>
              <w:rPr>
                <w:rFonts w:cs="Arial"/>
                <w:i/>
                <w:color w:val="000000"/>
                <w:sz w:val="22"/>
                <w:szCs w:val="22"/>
              </w:rPr>
            </w:pPr>
            <w:r w:rsidRPr="008B6F45">
              <w:rPr>
                <w:rFonts w:cs="Arial"/>
                <w:i/>
                <w:color w:val="000000"/>
                <w:sz w:val="22"/>
                <w:szCs w:val="22"/>
              </w:rPr>
              <w:t xml:space="preserve">If you </w:t>
            </w:r>
            <w:r w:rsidRPr="008B6F45">
              <w:rPr>
                <w:rFonts w:cs="Arial"/>
                <w:i/>
                <w:color w:val="000000"/>
                <w:sz w:val="22"/>
                <w:szCs w:val="22"/>
                <w:u w:val="single"/>
              </w:rPr>
              <w:t>disagree</w:t>
            </w:r>
            <w:r w:rsidRPr="008B6F45">
              <w:rPr>
                <w:rFonts w:cs="Arial"/>
                <w:i/>
                <w:color w:val="000000"/>
                <w:sz w:val="22"/>
                <w:szCs w:val="22"/>
              </w:rPr>
              <w:t xml:space="preserve"> with the position of the applicants in the Davis Class Action (namely, that the Settlement Sum should be allocated between the two class actions at a later stage)</w:t>
            </w:r>
          </w:p>
        </w:tc>
        <w:tc>
          <w:tcPr>
            <w:tcW w:w="6418" w:type="dxa"/>
          </w:tcPr>
          <w:p w14:paraId="62825AC3" w14:textId="77777777" w:rsidR="008B6F45" w:rsidRPr="008B6F45" w:rsidRDefault="008B6F45" w:rsidP="008B6F45">
            <w:pPr>
              <w:numPr>
                <w:ilvl w:val="0"/>
                <w:numId w:val="4"/>
              </w:numPr>
              <w:adjustRightInd w:val="0"/>
              <w:rPr>
                <w:rFonts w:cs="Arial"/>
                <w:color w:val="000000"/>
                <w:sz w:val="22"/>
                <w:szCs w:val="22"/>
              </w:rPr>
            </w:pPr>
            <w:r w:rsidRPr="008B6F45">
              <w:rPr>
                <w:rFonts w:cs="Arial"/>
                <w:color w:val="000000"/>
                <w:sz w:val="22"/>
                <w:szCs w:val="22"/>
              </w:rPr>
              <w:t>You should tell the Judge and the parties why.</w:t>
            </w:r>
          </w:p>
          <w:p w14:paraId="3DE0E8F2" w14:textId="77777777" w:rsidR="008B6F45" w:rsidRPr="008B6F45" w:rsidRDefault="008B6F45" w:rsidP="008B6F45">
            <w:pPr>
              <w:numPr>
                <w:ilvl w:val="0"/>
                <w:numId w:val="4"/>
              </w:numPr>
              <w:adjustRightInd w:val="0"/>
              <w:rPr>
                <w:rFonts w:cs="Arial"/>
                <w:color w:val="000000"/>
                <w:sz w:val="22"/>
                <w:szCs w:val="22"/>
              </w:rPr>
            </w:pPr>
            <w:r w:rsidRPr="008B6F45">
              <w:rPr>
                <w:rFonts w:cs="Arial"/>
                <w:color w:val="000000"/>
                <w:sz w:val="22"/>
                <w:szCs w:val="22"/>
              </w:rPr>
              <w:t xml:space="preserve">This </w:t>
            </w:r>
            <w:proofErr w:type="gramStart"/>
            <w:r w:rsidRPr="008B6F45">
              <w:rPr>
                <w:rFonts w:cs="Arial"/>
                <w:color w:val="000000"/>
                <w:sz w:val="22"/>
                <w:szCs w:val="22"/>
              </w:rPr>
              <w:t>is best done</w:t>
            </w:r>
            <w:proofErr w:type="gramEnd"/>
            <w:r w:rsidRPr="008B6F45">
              <w:rPr>
                <w:rFonts w:cs="Arial"/>
                <w:color w:val="000000"/>
                <w:sz w:val="22"/>
                <w:szCs w:val="22"/>
              </w:rPr>
              <w:t xml:space="preserve"> by sending written material for the Federal Court to consider well before the hearing.  This should be done by sending the material to nswdr@fedcourt.gov.au, and the court would prefer if this </w:t>
            </w:r>
            <w:proofErr w:type="gramStart"/>
            <w:r w:rsidRPr="008B6F45">
              <w:rPr>
                <w:rFonts w:cs="Arial"/>
                <w:color w:val="000000"/>
                <w:sz w:val="22"/>
                <w:szCs w:val="22"/>
              </w:rPr>
              <w:t>was</w:t>
            </w:r>
            <w:proofErr w:type="gramEnd"/>
            <w:r w:rsidRPr="008B6F45">
              <w:rPr>
                <w:rFonts w:cs="Arial"/>
                <w:color w:val="000000"/>
                <w:sz w:val="22"/>
                <w:szCs w:val="22"/>
              </w:rPr>
              <w:t xml:space="preserve"> sent by 27 April 2020.  You can also tell the Court your concerns at the hearing.  Arrangements </w:t>
            </w:r>
            <w:proofErr w:type="gramStart"/>
            <w:r w:rsidRPr="008B6F45">
              <w:rPr>
                <w:rFonts w:cs="Arial"/>
                <w:color w:val="000000"/>
                <w:sz w:val="22"/>
                <w:szCs w:val="22"/>
              </w:rPr>
              <w:t>will be made</w:t>
            </w:r>
            <w:proofErr w:type="gramEnd"/>
            <w:r w:rsidRPr="008B6F45">
              <w:rPr>
                <w:rFonts w:cs="Arial"/>
                <w:color w:val="000000"/>
                <w:sz w:val="22"/>
                <w:szCs w:val="22"/>
              </w:rPr>
              <w:t xml:space="preserve"> to allow you do this if you want.  Due to the coronavirus, a hearing will probably not happen in a courtroom where people come along in person, and if you want to speak, this will likely involve providing you with a video link or telephone link.  If you want to speak to the Judge about the settlement at the hearing this can be arranged by you sending an email to </w:t>
            </w:r>
            <w:r w:rsidRPr="008B6F45">
              <w:rPr>
                <w:rFonts w:cs="Arial"/>
                <w:color w:val="000000"/>
                <w:sz w:val="22"/>
              </w:rPr>
              <w:t>nswdr@fedcourt.gov.au.</w:t>
            </w:r>
          </w:p>
          <w:p w14:paraId="78555A49" w14:textId="77777777" w:rsidR="008B6F45" w:rsidRPr="008B6F45" w:rsidRDefault="008B6F45" w:rsidP="008B6F45">
            <w:pPr>
              <w:adjustRightInd w:val="0"/>
              <w:rPr>
                <w:rFonts w:cs="Arial"/>
                <w:color w:val="000000"/>
                <w:sz w:val="20"/>
                <w:szCs w:val="22"/>
              </w:rPr>
            </w:pPr>
          </w:p>
        </w:tc>
      </w:tr>
    </w:tbl>
    <w:p w14:paraId="24EAA537" w14:textId="77777777" w:rsidR="008B6F45" w:rsidRPr="008B6F45" w:rsidRDefault="008B6F45" w:rsidP="008B6F45">
      <w:pPr>
        <w:widowControl w:val="0"/>
        <w:autoSpaceDE w:val="0"/>
        <w:autoSpaceDN w:val="0"/>
        <w:adjustRightInd w:val="0"/>
        <w:jc w:val="both"/>
        <w:rPr>
          <w:rFonts w:ascii="Arial" w:eastAsia="Calibri" w:hAnsi="Arial" w:cs="Arial"/>
          <w:color w:val="000000"/>
          <w:sz w:val="22"/>
          <w:szCs w:val="22"/>
        </w:rPr>
      </w:pPr>
    </w:p>
    <w:p w14:paraId="58D0F14A" w14:textId="77777777" w:rsidR="008B6F45" w:rsidRPr="008B6F45" w:rsidRDefault="008B6F45" w:rsidP="008B6F45">
      <w:pPr>
        <w:adjustRightInd w:val="0"/>
        <w:spacing w:line="360" w:lineRule="auto"/>
        <w:rPr>
          <w:rFonts w:ascii="Arial" w:hAnsi="Arial" w:cs="Arial"/>
          <w:b/>
          <w:bCs/>
          <w:color w:val="000000"/>
          <w:sz w:val="22"/>
        </w:rPr>
      </w:pPr>
      <w:r w:rsidRPr="008B6F45">
        <w:rPr>
          <w:rFonts w:ascii="Arial" w:hAnsi="Arial" w:cs="Arial"/>
          <w:b/>
          <w:bCs/>
          <w:color w:val="000000"/>
          <w:sz w:val="22"/>
        </w:rPr>
        <w:t>D. How can I find out more information?</w:t>
      </w:r>
    </w:p>
    <w:p w14:paraId="62C59A91" w14:textId="77777777" w:rsidR="008B6F45" w:rsidRPr="008B6F45" w:rsidRDefault="008B6F45" w:rsidP="008B6F45">
      <w:pPr>
        <w:widowControl w:val="0"/>
        <w:numPr>
          <w:ilvl w:val="0"/>
          <w:numId w:val="5"/>
        </w:numPr>
        <w:autoSpaceDE w:val="0"/>
        <w:autoSpaceDN w:val="0"/>
        <w:adjustRightInd w:val="0"/>
        <w:ind w:left="360" w:hanging="360"/>
        <w:jc w:val="both"/>
        <w:rPr>
          <w:rFonts w:ascii="Arial" w:eastAsia="Calibri" w:hAnsi="Arial" w:cs="Arial"/>
          <w:color w:val="000000"/>
          <w:sz w:val="22"/>
          <w:szCs w:val="22"/>
        </w:rPr>
      </w:pPr>
      <w:r w:rsidRPr="008B6F45">
        <w:rPr>
          <w:rFonts w:ascii="Arial" w:eastAsia="Calibri" w:hAnsi="Arial" w:cs="Arial"/>
          <w:color w:val="000000"/>
          <w:sz w:val="22"/>
          <w:szCs w:val="22"/>
        </w:rPr>
        <w:t>If you want any more information or documents, you should not contact the Federal Court but instead:</w:t>
      </w:r>
    </w:p>
    <w:p w14:paraId="51C7A216" w14:textId="77777777" w:rsidR="008B6F45" w:rsidRPr="008B6F45" w:rsidRDefault="008B6F45" w:rsidP="008B6F45">
      <w:pPr>
        <w:widowControl w:val="0"/>
        <w:autoSpaceDE w:val="0"/>
        <w:autoSpaceDN w:val="0"/>
        <w:adjustRightInd w:val="0"/>
        <w:spacing w:before="120"/>
        <w:ind w:left="850" w:hanging="493"/>
        <w:jc w:val="both"/>
        <w:rPr>
          <w:rFonts w:ascii="Arial" w:hAnsi="Arial"/>
          <w:sz w:val="22"/>
        </w:rPr>
      </w:pPr>
      <w:r w:rsidRPr="008B6F45">
        <w:rPr>
          <w:rFonts w:ascii="Arial" w:hAnsi="Arial" w:cs="Arial"/>
          <w:color w:val="000000"/>
          <w:sz w:val="22"/>
        </w:rPr>
        <w:t>(a)</w:t>
      </w:r>
      <w:r w:rsidRPr="008B6F45">
        <w:rPr>
          <w:rFonts w:ascii="Arial" w:hAnsi="Arial" w:cs="Arial"/>
          <w:color w:val="000000"/>
          <w:sz w:val="22"/>
        </w:rPr>
        <w:tab/>
      </w:r>
      <w:proofErr w:type="gramStart"/>
      <w:r w:rsidRPr="008B6F45">
        <w:rPr>
          <w:rFonts w:ascii="Arial" w:hAnsi="Arial" w:cs="Arial"/>
          <w:color w:val="000000"/>
          <w:sz w:val="22"/>
        </w:rPr>
        <w:t>download</w:t>
      </w:r>
      <w:proofErr w:type="gramEnd"/>
      <w:r w:rsidRPr="008B6F45">
        <w:rPr>
          <w:rFonts w:ascii="Arial" w:hAnsi="Arial" w:cs="Arial"/>
          <w:color w:val="000000"/>
          <w:sz w:val="22"/>
        </w:rPr>
        <w:t xml:space="preserve"> documents from </w:t>
      </w:r>
      <w:hyperlink r:id="rId12" w:history="1">
        <w:r w:rsidRPr="008B6F45">
          <w:rPr>
            <w:rFonts w:ascii="Arial" w:hAnsi="Arial"/>
            <w:color w:val="00ADEF"/>
            <w:sz w:val="22"/>
            <w:u w:val="single"/>
          </w:rPr>
          <w:t>https://piperalderman.com.au/class-actions/quintis-limited-class-action/</w:t>
        </w:r>
      </w:hyperlink>
      <w:r w:rsidRPr="008B6F45">
        <w:rPr>
          <w:rFonts w:ascii="Arial" w:hAnsi="Arial"/>
          <w:sz w:val="22"/>
        </w:rPr>
        <w:t xml:space="preserve"> or </w:t>
      </w:r>
      <w:hyperlink r:id="rId13" w:history="1">
        <w:r w:rsidRPr="008B6F45">
          <w:rPr>
            <w:rFonts w:ascii="Arial" w:hAnsi="Arial"/>
            <w:color w:val="00ADEF"/>
            <w:sz w:val="22"/>
            <w:u w:val="single"/>
          </w:rPr>
          <w:t>https://www.lcmfinance.com/class_action/quintis/</w:t>
        </w:r>
      </w:hyperlink>
      <w:r w:rsidRPr="008B6F45">
        <w:rPr>
          <w:rFonts w:ascii="Arial" w:hAnsi="Arial"/>
          <w:sz w:val="22"/>
        </w:rPr>
        <w:t>;</w:t>
      </w:r>
    </w:p>
    <w:p w14:paraId="72A21808" w14:textId="77777777" w:rsidR="008B6F45" w:rsidRPr="008B6F45" w:rsidRDefault="008B6F45" w:rsidP="008B6F45">
      <w:pPr>
        <w:widowControl w:val="0"/>
        <w:autoSpaceDE w:val="0"/>
        <w:autoSpaceDN w:val="0"/>
        <w:adjustRightInd w:val="0"/>
        <w:spacing w:before="120"/>
        <w:ind w:left="850" w:hanging="493"/>
        <w:jc w:val="both"/>
        <w:rPr>
          <w:rFonts w:ascii="Arial" w:hAnsi="Arial"/>
          <w:sz w:val="22"/>
          <w:szCs w:val="22"/>
        </w:rPr>
      </w:pPr>
      <w:r w:rsidRPr="008B6F45">
        <w:rPr>
          <w:rFonts w:ascii="Arial" w:hAnsi="Arial"/>
          <w:sz w:val="22"/>
        </w:rPr>
        <w:t>(b)</w:t>
      </w:r>
      <w:r w:rsidRPr="008B6F45">
        <w:rPr>
          <w:rFonts w:ascii="Arial" w:hAnsi="Arial"/>
          <w:sz w:val="22"/>
        </w:rPr>
        <w:tab/>
      </w:r>
      <w:proofErr w:type="gramStart"/>
      <w:r w:rsidRPr="008B6F45">
        <w:rPr>
          <w:rFonts w:ascii="Arial" w:hAnsi="Arial"/>
          <w:sz w:val="22"/>
        </w:rPr>
        <w:t>e</w:t>
      </w:r>
      <w:r w:rsidRPr="008B6F45">
        <w:rPr>
          <w:rFonts w:ascii="Arial" w:hAnsi="Arial"/>
          <w:sz w:val="22"/>
          <w:szCs w:val="22"/>
        </w:rPr>
        <w:t>mail</w:t>
      </w:r>
      <w:proofErr w:type="gramEnd"/>
      <w:r w:rsidRPr="008B6F45">
        <w:rPr>
          <w:rFonts w:ascii="Arial" w:hAnsi="Arial"/>
          <w:sz w:val="22"/>
          <w:szCs w:val="22"/>
        </w:rPr>
        <w:t xml:space="preserve"> Piper Alderman, the solicitors for the applicants in the Davis Class Action, at </w:t>
      </w:r>
      <w:hyperlink r:id="rId14" w:history="1">
        <w:r w:rsidRPr="004328E1">
          <w:rPr>
            <w:rFonts w:ascii="Arial" w:hAnsi="Arial" w:cs="Arial"/>
            <w:color w:val="00ADEF"/>
            <w:sz w:val="22"/>
            <w:szCs w:val="22"/>
            <w:u w:val="single"/>
          </w:rPr>
          <w:t>QINshareholder@piperalderman.com.au</w:t>
        </w:r>
      </w:hyperlink>
      <w:r w:rsidRPr="008B6F45">
        <w:rPr>
          <w:rFonts w:ascii="Arial" w:hAnsi="Arial"/>
          <w:sz w:val="22"/>
          <w:szCs w:val="22"/>
        </w:rPr>
        <w:t xml:space="preserve"> or call +61 2 9253 9999 and ask to speak to </w:t>
      </w:r>
      <w:proofErr w:type="spellStart"/>
      <w:r w:rsidRPr="008B6F45">
        <w:rPr>
          <w:rFonts w:ascii="Arial" w:hAnsi="Arial"/>
          <w:sz w:val="22"/>
          <w:szCs w:val="22"/>
        </w:rPr>
        <w:t>Jordana</w:t>
      </w:r>
      <w:proofErr w:type="spellEnd"/>
      <w:r w:rsidRPr="008B6F45">
        <w:rPr>
          <w:rFonts w:ascii="Arial" w:hAnsi="Arial"/>
          <w:sz w:val="22"/>
          <w:szCs w:val="22"/>
        </w:rPr>
        <w:t xml:space="preserve"> </w:t>
      </w:r>
      <w:proofErr w:type="spellStart"/>
      <w:r w:rsidRPr="008B6F45">
        <w:rPr>
          <w:rFonts w:ascii="Arial" w:hAnsi="Arial"/>
          <w:sz w:val="22"/>
          <w:szCs w:val="22"/>
        </w:rPr>
        <w:t>Yencken-Nissenbaum</w:t>
      </w:r>
      <w:proofErr w:type="spellEnd"/>
      <w:r w:rsidRPr="008B6F45">
        <w:rPr>
          <w:rFonts w:ascii="Arial" w:hAnsi="Arial"/>
          <w:sz w:val="22"/>
          <w:szCs w:val="22"/>
        </w:rPr>
        <w:t>;</w:t>
      </w:r>
    </w:p>
    <w:p w14:paraId="4F80D647" w14:textId="77777777" w:rsidR="008B6F45" w:rsidRPr="008B6F45" w:rsidRDefault="008B6F45" w:rsidP="008B6F45">
      <w:pPr>
        <w:widowControl w:val="0"/>
        <w:autoSpaceDE w:val="0"/>
        <w:autoSpaceDN w:val="0"/>
        <w:adjustRightInd w:val="0"/>
        <w:spacing w:before="120"/>
        <w:ind w:left="850" w:hanging="493"/>
        <w:jc w:val="both"/>
        <w:rPr>
          <w:rFonts w:ascii="Arial" w:hAnsi="Arial" w:cs="Arial"/>
          <w:color w:val="000000"/>
          <w:sz w:val="22"/>
          <w:szCs w:val="22"/>
        </w:rPr>
      </w:pPr>
      <w:r w:rsidRPr="008B6F45">
        <w:rPr>
          <w:rFonts w:ascii="Arial" w:hAnsi="Arial"/>
          <w:sz w:val="22"/>
          <w:szCs w:val="22"/>
        </w:rPr>
        <w:t>(c)</w:t>
      </w:r>
      <w:r w:rsidRPr="008B6F45">
        <w:rPr>
          <w:rFonts w:ascii="Arial" w:hAnsi="Arial"/>
          <w:sz w:val="22"/>
          <w:szCs w:val="22"/>
        </w:rPr>
        <w:tab/>
        <w:t xml:space="preserve">email LCM Operations Pty Ltd, the litigation funder for the applicants in the Davis Class Action, at </w:t>
      </w:r>
      <w:hyperlink r:id="rId15" w:history="1">
        <w:r w:rsidRPr="004328E1">
          <w:rPr>
            <w:rFonts w:ascii="Arial" w:hAnsi="Arial"/>
            <w:color w:val="00ADEF"/>
            <w:sz w:val="22"/>
            <w:szCs w:val="22"/>
            <w:u w:val="single"/>
          </w:rPr>
          <w:t>staylor@lcmfinance.com</w:t>
        </w:r>
      </w:hyperlink>
      <w:r w:rsidRPr="008B6F45">
        <w:rPr>
          <w:rFonts w:ascii="Arial" w:hAnsi="Arial"/>
          <w:sz w:val="22"/>
          <w:szCs w:val="22"/>
        </w:rPr>
        <w:t xml:space="preserve"> or call +61 2 8098 1390 and ask to speak to Susanna Taylor.</w:t>
      </w:r>
    </w:p>
    <w:p w14:paraId="1CA946E0" w14:textId="77777777" w:rsidR="008B6F45" w:rsidRPr="008B6F45" w:rsidRDefault="008B6F45" w:rsidP="008B6F45">
      <w:pPr>
        <w:widowControl w:val="0"/>
        <w:autoSpaceDE w:val="0"/>
        <w:autoSpaceDN w:val="0"/>
        <w:adjustRightInd w:val="0"/>
        <w:ind w:left="360"/>
        <w:jc w:val="both"/>
        <w:rPr>
          <w:rFonts w:ascii="Arial" w:eastAsia="Calibri" w:hAnsi="Arial" w:cs="Arial"/>
          <w:color w:val="000000"/>
          <w:sz w:val="22"/>
          <w:szCs w:val="22"/>
        </w:rPr>
      </w:pPr>
    </w:p>
    <w:p w14:paraId="2510B420" w14:textId="77777777" w:rsidR="008B6F45" w:rsidRPr="008B6F45" w:rsidRDefault="008B6F45" w:rsidP="008B6F45">
      <w:pPr>
        <w:widowControl w:val="0"/>
        <w:numPr>
          <w:ilvl w:val="0"/>
          <w:numId w:val="5"/>
        </w:numPr>
        <w:autoSpaceDE w:val="0"/>
        <w:autoSpaceDN w:val="0"/>
        <w:adjustRightInd w:val="0"/>
        <w:ind w:left="360" w:hanging="360"/>
        <w:jc w:val="both"/>
        <w:rPr>
          <w:rFonts w:ascii="Arial" w:eastAsia="Calibri" w:hAnsi="Arial" w:cs="Arial"/>
          <w:color w:val="000000"/>
          <w:sz w:val="22"/>
          <w:szCs w:val="22"/>
        </w:rPr>
      </w:pPr>
      <w:r w:rsidRPr="008B6F45">
        <w:rPr>
          <w:rFonts w:ascii="Arial" w:eastAsia="Calibri" w:hAnsi="Arial" w:cs="Arial"/>
          <w:color w:val="000000"/>
          <w:sz w:val="22"/>
          <w:szCs w:val="22"/>
        </w:rPr>
        <w:t xml:space="preserve">Please consider the above matters carefully. If there is anything of which you are unsure, you should contact Piper Alderman, LCM or seek your own legal advice from your own solicitor.  </w:t>
      </w:r>
    </w:p>
    <w:p w14:paraId="12778E97" w14:textId="77777777" w:rsidR="008B6F45" w:rsidRPr="00D71C1E" w:rsidRDefault="008B6F45" w:rsidP="00CF0591">
      <w:pPr>
        <w:tabs>
          <w:tab w:val="right" w:pos="9026"/>
        </w:tabs>
        <w:suppressAutoHyphens/>
        <w:ind w:right="1008"/>
        <w:rPr>
          <w:b/>
        </w:rPr>
      </w:pPr>
    </w:p>
    <w:sectPr w:rsidR="008B6F45" w:rsidRPr="00D71C1E" w:rsidSect="007D42F5">
      <w:headerReference w:type="default" r:id="rId16"/>
      <w:footerReference w:type="default" r:id="rId17"/>
      <w:footerReference w:type="first" r:id="rId18"/>
      <w:pgSz w:w="11906" w:h="16838"/>
      <w:pgMar w:top="1985"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BB2E" w14:textId="77777777" w:rsidR="0001556E" w:rsidRDefault="0001556E">
      <w:r>
        <w:separator/>
      </w:r>
    </w:p>
  </w:endnote>
  <w:endnote w:type="continuationSeparator" w:id="0">
    <w:p w14:paraId="2D50A5D2" w14:textId="77777777" w:rsidR="0001556E" w:rsidRDefault="0001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30D13" w14:textId="17C8A047" w:rsidR="00C46572" w:rsidRDefault="008C33A5" w:rsidP="003F71C3">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w:t>
    </w:r>
    <w:r w:rsidR="0044060D">
      <w:rPr>
        <w:rFonts w:ascii="Times New Roman" w:hAnsi="Times New Roman"/>
        <w:szCs w:val="16"/>
        <w:lang w:val="en-AU"/>
      </w:rPr>
      <w:t xml:space="preserve">repared in the </w:t>
    </w:r>
    <w:sdt>
      <w:sdtPr>
        <w:rPr>
          <w:rFonts w:ascii="Times New Roman" w:hAnsi="Times New Roman"/>
          <w:szCs w:val="16"/>
          <w:lang w:val="en-AU"/>
        </w:rPr>
        <w:tag w:val="cl_ftdistrictregistry"/>
        <w:id w:val="-69820970"/>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9A04977" w14:textId="13E0299E" w:rsidR="0054518F" w:rsidRPr="003F71C3" w:rsidRDefault="0001556E" w:rsidP="003F71C3">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registryaddress"/>
        <w:id w:val="162755802"/>
        <w:showingPlcHdr/>
      </w:sdtPr>
      <w:sdtEndPr/>
      <w:sdtContent>
        <w:r w:rsidR="00A075E8">
          <w:rPr>
            <w:rFonts w:ascii="Times New Roman" w:hAnsi="Times New Roman"/>
            <w:lang w:val="en-AU"/>
          </w:rPr>
          <w:t>Level 17,  Law Courts Building, Queens Square</w:t>
        </w:r>
      </w:sdtContent>
    </w:sdt>
    <w:r w:rsidR="008C33A5" w:rsidRPr="00F611C7">
      <w:rPr>
        <w:rFonts w:ascii="Times New Roman" w:hAnsi="Times New Roman"/>
        <w:szCs w:val="16"/>
        <w:lang w:val="en-AU"/>
      </w:rPr>
      <w:t xml:space="preserve">, Telephone </w:t>
    </w:r>
    <w:sdt>
      <w:sdtPr>
        <w:rPr>
          <w:rFonts w:ascii="Times New Roman" w:hAnsi="Times New Roman"/>
          <w:szCs w:val="16"/>
          <w:lang w:val="en-AU"/>
        </w:rPr>
        <w:tag w:val="cl_ftregistryphone"/>
        <w:id w:val="-2133240388"/>
        <w:showingPlcHdr/>
      </w:sdtPr>
      <w:sdtEndPr/>
      <w:sdtContent>
        <w:r w:rsidR="00A075E8">
          <w:rPr>
            <w:rFonts w:ascii="Times New Roman" w:hAnsi="Times New Roman"/>
            <w:lang w:val="en-AU"/>
          </w:rPr>
          <w:t>02 9230 8567</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8F91" w14:textId="4D3E4A1E" w:rsidR="00C46572" w:rsidRDefault="00E975F9" w:rsidP="00E975F9">
    <w:pPr>
      <w:pStyle w:val="Footer"/>
      <w:pBdr>
        <w:top w:val="single" w:sz="4" w:space="1" w:color="auto"/>
      </w:pBdr>
      <w:rPr>
        <w:rFonts w:ascii="Times New Roman" w:hAnsi="Times New Roman"/>
        <w:szCs w:val="16"/>
        <w:lang w:val="en-AU"/>
      </w:rPr>
    </w:pPr>
    <w:r w:rsidRPr="00CF0591">
      <w:rPr>
        <w:rFonts w:ascii="Times New Roman" w:hAnsi="Times New Roman"/>
        <w:szCs w:val="16"/>
        <w:lang w:val="en-AU"/>
      </w:rPr>
      <w:t>Prepared in the</w:t>
    </w:r>
    <w:r>
      <w:rPr>
        <w:rFonts w:ascii="Times New Roman" w:hAnsi="Times New Roman"/>
        <w:szCs w:val="16"/>
        <w:lang w:val="en-AU"/>
      </w:rPr>
      <w:t xml:space="preserve"> </w:t>
    </w:r>
    <w:sdt>
      <w:sdtPr>
        <w:rPr>
          <w:rFonts w:ascii="Times New Roman" w:hAnsi="Times New Roman"/>
          <w:szCs w:val="16"/>
          <w:lang w:val="en-AU"/>
        </w:rPr>
        <w:tag w:val="cl_ftfirstdistrictregistry"/>
        <w:id w:val="-1534643646"/>
        <w:showingPlcHdr/>
      </w:sdtPr>
      <w:sdtEndPr/>
      <w:sdtContent>
        <w:r>
          <w:rPr>
            <w:rFonts w:ascii="Times New Roman" w:hAnsi="Times New Roman"/>
            <w:lang w:val="en-AU"/>
          </w:rPr>
          <w:t>New South Wales District Registry</w:t>
        </w:r>
      </w:sdtContent>
    </w:sdt>
    <w:r>
      <w:rPr>
        <w:rFonts w:ascii="Times New Roman" w:hAnsi="Times New Roman"/>
        <w:szCs w:val="16"/>
        <w:lang w:val="en-AU"/>
      </w:rPr>
      <w:t>, Federal Court o</w:t>
    </w:r>
    <w:r w:rsidRPr="00CF0591">
      <w:rPr>
        <w:rFonts w:ascii="Times New Roman" w:hAnsi="Times New Roman"/>
        <w:szCs w:val="16"/>
        <w:lang w:val="en-AU"/>
      </w:rPr>
      <w:t>f Australia</w:t>
    </w:r>
  </w:p>
  <w:p w14:paraId="2B7B794D" w14:textId="69AE2FB9" w:rsidR="00F611C7" w:rsidRPr="00E975F9" w:rsidRDefault="0001556E" w:rsidP="00E975F9">
    <w:pPr>
      <w:pStyle w:val="Footer"/>
      <w:pBdr>
        <w:top w:val="single" w:sz="4" w:space="1" w:color="auto"/>
      </w:pBdr>
      <w:rPr>
        <w:rFonts w:ascii="Times New Roman" w:hAnsi="Times New Roman"/>
        <w:szCs w:val="16"/>
        <w:lang w:val="en-AU"/>
      </w:rPr>
    </w:pPr>
    <w:sdt>
      <w:sdtPr>
        <w:rPr>
          <w:rFonts w:ascii="Times New Roman" w:hAnsi="Times New Roman"/>
          <w:szCs w:val="16"/>
          <w:lang w:val="en-AU"/>
        </w:rPr>
        <w:tag w:val="cl_ftfirstregistryaddress"/>
        <w:id w:val="1583330882"/>
        <w:showingPlcHdr/>
      </w:sdtPr>
      <w:sdtEndPr/>
      <w:sdtContent>
        <w:r w:rsidR="00A075E8">
          <w:rPr>
            <w:rFonts w:ascii="Times New Roman" w:hAnsi="Times New Roman"/>
            <w:lang w:val="en-AU"/>
          </w:rPr>
          <w:t>Level 17,  Law Courts Building, Queens Square</w:t>
        </w:r>
      </w:sdtContent>
    </w:sdt>
    <w:r w:rsidR="00E975F9" w:rsidRPr="00F611C7">
      <w:rPr>
        <w:rFonts w:ascii="Times New Roman" w:hAnsi="Times New Roman"/>
        <w:szCs w:val="16"/>
        <w:lang w:val="en-AU"/>
      </w:rPr>
      <w:t xml:space="preserve">, Telephone </w:t>
    </w:r>
    <w:sdt>
      <w:sdtPr>
        <w:rPr>
          <w:rFonts w:ascii="Times New Roman" w:hAnsi="Times New Roman"/>
          <w:szCs w:val="16"/>
          <w:lang w:val="en-AU"/>
        </w:rPr>
        <w:tag w:val="cl_ftfirstregistryphone"/>
        <w:id w:val="1402566437"/>
        <w:showingPlcHdr/>
      </w:sdtPr>
      <w:sdtEndPr/>
      <w:sdtContent>
        <w:r w:rsidR="00A075E8">
          <w:rPr>
            <w:rFonts w:ascii="Times New Roman" w:hAnsi="Times New Roman"/>
            <w:lang w:val="en-AU"/>
          </w:rPr>
          <w:t>02 9230 8567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965FD" w14:textId="77777777" w:rsidR="0001556E" w:rsidRDefault="0001556E">
      <w:r>
        <w:separator/>
      </w:r>
    </w:p>
  </w:footnote>
  <w:footnote w:type="continuationSeparator" w:id="0">
    <w:p w14:paraId="0EC17F40" w14:textId="77777777" w:rsidR="0001556E" w:rsidRDefault="0001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1AF42" w14:textId="488B6BB2" w:rsidR="00C368DC" w:rsidRDefault="00C368DC" w:rsidP="00C368DC">
    <w:pPr>
      <w:pStyle w:val="Header"/>
      <w:jc w:val="center"/>
    </w:pPr>
    <w:r>
      <w:t xml:space="preserve">- </w:t>
    </w:r>
    <w:sdt>
      <w:sdtPr>
        <w:id w:val="13013443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D2209">
          <w:rPr>
            <w:noProof/>
          </w:rPr>
          <w:t>2</w:t>
        </w:r>
        <w:r>
          <w:rPr>
            <w:noProof/>
          </w:rPr>
          <w:fldChar w:fldCharType="end"/>
        </w:r>
      </w:sdtContent>
    </w:sdt>
    <w:r>
      <w:rPr>
        <w:noProof/>
      </w:rPr>
      <w:t xml:space="preserve"> -</w:t>
    </w:r>
  </w:p>
  <w:p w14:paraId="58622AD4" w14:textId="77777777" w:rsidR="003D5CA3" w:rsidRPr="00C368DC" w:rsidRDefault="003D5CA3" w:rsidP="00C36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91A57B6"/>
    <w:lvl w:ilvl="0">
      <w:start w:val="1"/>
      <w:numFmt w:val="decimal"/>
      <w:lvlText w:val="%1."/>
      <w:lvlJc w:val="left"/>
      <w:pPr>
        <w:tabs>
          <w:tab w:val="num" w:pos="737"/>
        </w:tabs>
        <w:ind w:left="737" w:hanging="737"/>
      </w:pPr>
      <w:rPr>
        <w:rFonts w:ascii="Times New Roman" w:eastAsia="PMingLiU" w:hAnsi="Times New Roman" w:cs="Times New Roman"/>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872"/>
        </w:tabs>
        <w:ind w:left="1872"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 w15:restartNumberingAfterBreak="0">
    <w:nsid w:val="16AD0EA3"/>
    <w:multiLevelType w:val="multilevel"/>
    <w:tmpl w:val="B9103D2E"/>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E6F1A"/>
    <w:multiLevelType w:val="multilevel"/>
    <w:tmpl w:val="22F46C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872"/>
        </w:tabs>
        <w:ind w:left="1872"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4" w15:restartNumberingAfterBreak="0">
    <w:nsid w:val="7087332B"/>
    <w:multiLevelType w:val="hybridMultilevel"/>
    <w:tmpl w:val="55A062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4AC"/>
    <w:rsid w:val="0001556E"/>
    <w:rsid w:val="00015624"/>
    <w:rsid w:val="00015737"/>
    <w:rsid w:val="00025CD6"/>
    <w:rsid w:val="000313EF"/>
    <w:rsid w:val="00031844"/>
    <w:rsid w:val="00035F13"/>
    <w:rsid w:val="00046820"/>
    <w:rsid w:val="00054ACE"/>
    <w:rsid w:val="000550D8"/>
    <w:rsid w:val="000667C5"/>
    <w:rsid w:val="00076B43"/>
    <w:rsid w:val="00087992"/>
    <w:rsid w:val="000A0B51"/>
    <w:rsid w:val="000C6040"/>
    <w:rsid w:val="000D28CE"/>
    <w:rsid w:val="000E0DD6"/>
    <w:rsid w:val="000E78A4"/>
    <w:rsid w:val="000F1EDA"/>
    <w:rsid w:val="00114D7C"/>
    <w:rsid w:val="0012009E"/>
    <w:rsid w:val="00130B10"/>
    <w:rsid w:val="0014090B"/>
    <w:rsid w:val="00150FD5"/>
    <w:rsid w:val="001828AC"/>
    <w:rsid w:val="00193033"/>
    <w:rsid w:val="001A03A3"/>
    <w:rsid w:val="001A5CD6"/>
    <w:rsid w:val="001D33E5"/>
    <w:rsid w:val="002105EA"/>
    <w:rsid w:val="00210BB3"/>
    <w:rsid w:val="002117D5"/>
    <w:rsid w:val="00221099"/>
    <w:rsid w:val="002248A7"/>
    <w:rsid w:val="00234BAE"/>
    <w:rsid w:val="00235930"/>
    <w:rsid w:val="00244672"/>
    <w:rsid w:val="0024758E"/>
    <w:rsid w:val="002527EC"/>
    <w:rsid w:val="0025376E"/>
    <w:rsid w:val="00257717"/>
    <w:rsid w:val="00262101"/>
    <w:rsid w:val="002706AA"/>
    <w:rsid w:val="00276A82"/>
    <w:rsid w:val="0027756C"/>
    <w:rsid w:val="0028259E"/>
    <w:rsid w:val="002A32B9"/>
    <w:rsid w:val="002A33C8"/>
    <w:rsid w:val="002A57E2"/>
    <w:rsid w:val="002B2A81"/>
    <w:rsid w:val="002D2FD8"/>
    <w:rsid w:val="002E7321"/>
    <w:rsid w:val="003054AA"/>
    <w:rsid w:val="00326633"/>
    <w:rsid w:val="003313E7"/>
    <w:rsid w:val="00331C61"/>
    <w:rsid w:val="00350968"/>
    <w:rsid w:val="003600BF"/>
    <w:rsid w:val="00386CDA"/>
    <w:rsid w:val="003876B9"/>
    <w:rsid w:val="00390493"/>
    <w:rsid w:val="00396DA6"/>
    <w:rsid w:val="003A7FAD"/>
    <w:rsid w:val="003B0D52"/>
    <w:rsid w:val="003B14D7"/>
    <w:rsid w:val="003D5CA3"/>
    <w:rsid w:val="003D6C52"/>
    <w:rsid w:val="003E64E6"/>
    <w:rsid w:val="003F71C3"/>
    <w:rsid w:val="0042175A"/>
    <w:rsid w:val="004328E1"/>
    <w:rsid w:val="0044060D"/>
    <w:rsid w:val="00445F49"/>
    <w:rsid w:val="004522A4"/>
    <w:rsid w:val="00454AF3"/>
    <w:rsid w:val="0047072A"/>
    <w:rsid w:val="00471B68"/>
    <w:rsid w:val="0047378C"/>
    <w:rsid w:val="004A450E"/>
    <w:rsid w:val="004A4824"/>
    <w:rsid w:val="004C2B76"/>
    <w:rsid w:val="004C5EF8"/>
    <w:rsid w:val="004D4F6E"/>
    <w:rsid w:val="004F252E"/>
    <w:rsid w:val="004F2D85"/>
    <w:rsid w:val="004F5D4C"/>
    <w:rsid w:val="004F6A54"/>
    <w:rsid w:val="00510D03"/>
    <w:rsid w:val="005148DB"/>
    <w:rsid w:val="0052319E"/>
    <w:rsid w:val="0054518F"/>
    <w:rsid w:val="00562FCA"/>
    <w:rsid w:val="00576BCA"/>
    <w:rsid w:val="005811EB"/>
    <w:rsid w:val="005B2C72"/>
    <w:rsid w:val="005C3E0E"/>
    <w:rsid w:val="005D6564"/>
    <w:rsid w:val="005E63EF"/>
    <w:rsid w:val="005F67B8"/>
    <w:rsid w:val="005F68E3"/>
    <w:rsid w:val="006077F7"/>
    <w:rsid w:val="00621146"/>
    <w:rsid w:val="00621319"/>
    <w:rsid w:val="006264C2"/>
    <w:rsid w:val="006337F1"/>
    <w:rsid w:val="006368EE"/>
    <w:rsid w:val="00644492"/>
    <w:rsid w:val="0065221C"/>
    <w:rsid w:val="0065432A"/>
    <w:rsid w:val="00655485"/>
    <w:rsid w:val="006632E9"/>
    <w:rsid w:val="0067536A"/>
    <w:rsid w:val="00675787"/>
    <w:rsid w:val="00682948"/>
    <w:rsid w:val="0069283D"/>
    <w:rsid w:val="006A37F3"/>
    <w:rsid w:val="006A636E"/>
    <w:rsid w:val="006B3882"/>
    <w:rsid w:val="006B47ED"/>
    <w:rsid w:val="006D46FD"/>
    <w:rsid w:val="006E2C5C"/>
    <w:rsid w:val="006E2D15"/>
    <w:rsid w:val="006F5E65"/>
    <w:rsid w:val="006F6851"/>
    <w:rsid w:val="00701B64"/>
    <w:rsid w:val="00703824"/>
    <w:rsid w:val="007265CB"/>
    <w:rsid w:val="00747162"/>
    <w:rsid w:val="00766558"/>
    <w:rsid w:val="0077394F"/>
    <w:rsid w:val="0079481F"/>
    <w:rsid w:val="007A09E6"/>
    <w:rsid w:val="007B0FB1"/>
    <w:rsid w:val="007B47BF"/>
    <w:rsid w:val="007B6F81"/>
    <w:rsid w:val="007D42F5"/>
    <w:rsid w:val="007D7C8E"/>
    <w:rsid w:val="007E422B"/>
    <w:rsid w:val="007E4837"/>
    <w:rsid w:val="007F3EE3"/>
    <w:rsid w:val="00810A75"/>
    <w:rsid w:val="00831FE2"/>
    <w:rsid w:val="00834C91"/>
    <w:rsid w:val="0084746C"/>
    <w:rsid w:val="008477D9"/>
    <w:rsid w:val="008656F5"/>
    <w:rsid w:val="0089292A"/>
    <w:rsid w:val="008945DC"/>
    <w:rsid w:val="008B537C"/>
    <w:rsid w:val="008B6F45"/>
    <w:rsid w:val="008C33A5"/>
    <w:rsid w:val="008E301F"/>
    <w:rsid w:val="008F026B"/>
    <w:rsid w:val="008F75AF"/>
    <w:rsid w:val="0091067D"/>
    <w:rsid w:val="00927547"/>
    <w:rsid w:val="0095419D"/>
    <w:rsid w:val="00963311"/>
    <w:rsid w:val="009979FF"/>
    <w:rsid w:val="009A0B40"/>
    <w:rsid w:val="009A13ED"/>
    <w:rsid w:val="009D62D6"/>
    <w:rsid w:val="009E4F84"/>
    <w:rsid w:val="00A04486"/>
    <w:rsid w:val="00A075E8"/>
    <w:rsid w:val="00A143E4"/>
    <w:rsid w:val="00A37EE6"/>
    <w:rsid w:val="00A473A4"/>
    <w:rsid w:val="00A73198"/>
    <w:rsid w:val="00A73D41"/>
    <w:rsid w:val="00A7602E"/>
    <w:rsid w:val="00A76BD7"/>
    <w:rsid w:val="00A91B90"/>
    <w:rsid w:val="00A91C29"/>
    <w:rsid w:val="00AE007A"/>
    <w:rsid w:val="00AF6A6F"/>
    <w:rsid w:val="00B059F5"/>
    <w:rsid w:val="00B100AC"/>
    <w:rsid w:val="00B45852"/>
    <w:rsid w:val="00B5217C"/>
    <w:rsid w:val="00B5225C"/>
    <w:rsid w:val="00B615A9"/>
    <w:rsid w:val="00B61AFA"/>
    <w:rsid w:val="00B82818"/>
    <w:rsid w:val="00B870C6"/>
    <w:rsid w:val="00BA7F6F"/>
    <w:rsid w:val="00BF4ACE"/>
    <w:rsid w:val="00C13E92"/>
    <w:rsid w:val="00C20E50"/>
    <w:rsid w:val="00C27A0B"/>
    <w:rsid w:val="00C31B08"/>
    <w:rsid w:val="00C344AC"/>
    <w:rsid w:val="00C368DC"/>
    <w:rsid w:val="00C4066B"/>
    <w:rsid w:val="00C46572"/>
    <w:rsid w:val="00C64427"/>
    <w:rsid w:val="00C74591"/>
    <w:rsid w:val="00C75D4E"/>
    <w:rsid w:val="00C803D8"/>
    <w:rsid w:val="00C863FF"/>
    <w:rsid w:val="00C9483C"/>
    <w:rsid w:val="00CC323C"/>
    <w:rsid w:val="00CC4ACC"/>
    <w:rsid w:val="00CD35D5"/>
    <w:rsid w:val="00CD363C"/>
    <w:rsid w:val="00CF0591"/>
    <w:rsid w:val="00CF789F"/>
    <w:rsid w:val="00D05192"/>
    <w:rsid w:val="00D07EE2"/>
    <w:rsid w:val="00D11D4D"/>
    <w:rsid w:val="00D13B1C"/>
    <w:rsid w:val="00D147D4"/>
    <w:rsid w:val="00D212CC"/>
    <w:rsid w:val="00D36CDA"/>
    <w:rsid w:val="00D37039"/>
    <w:rsid w:val="00D51823"/>
    <w:rsid w:val="00D6598D"/>
    <w:rsid w:val="00D67431"/>
    <w:rsid w:val="00D70EF2"/>
    <w:rsid w:val="00D71C1E"/>
    <w:rsid w:val="00D72708"/>
    <w:rsid w:val="00D8045F"/>
    <w:rsid w:val="00D943A9"/>
    <w:rsid w:val="00D94B04"/>
    <w:rsid w:val="00DC673A"/>
    <w:rsid w:val="00DD3473"/>
    <w:rsid w:val="00DE6EDF"/>
    <w:rsid w:val="00DF23C1"/>
    <w:rsid w:val="00E030A3"/>
    <w:rsid w:val="00E077CE"/>
    <w:rsid w:val="00E12F9D"/>
    <w:rsid w:val="00E1363C"/>
    <w:rsid w:val="00E17B5D"/>
    <w:rsid w:val="00E2288F"/>
    <w:rsid w:val="00E23B49"/>
    <w:rsid w:val="00E42E0C"/>
    <w:rsid w:val="00E538FC"/>
    <w:rsid w:val="00E5576D"/>
    <w:rsid w:val="00E57E9B"/>
    <w:rsid w:val="00E675F3"/>
    <w:rsid w:val="00E7109D"/>
    <w:rsid w:val="00E95159"/>
    <w:rsid w:val="00E975F9"/>
    <w:rsid w:val="00EA58CB"/>
    <w:rsid w:val="00EA6087"/>
    <w:rsid w:val="00EB2203"/>
    <w:rsid w:val="00EB67E5"/>
    <w:rsid w:val="00EC4ABB"/>
    <w:rsid w:val="00EC57C5"/>
    <w:rsid w:val="00ED0EC2"/>
    <w:rsid w:val="00ED2209"/>
    <w:rsid w:val="00ED466B"/>
    <w:rsid w:val="00ED7EA4"/>
    <w:rsid w:val="00EE707E"/>
    <w:rsid w:val="00EF500E"/>
    <w:rsid w:val="00F35671"/>
    <w:rsid w:val="00F41E30"/>
    <w:rsid w:val="00F611C7"/>
    <w:rsid w:val="00F70BC6"/>
    <w:rsid w:val="00F777A7"/>
    <w:rsid w:val="00F90BFF"/>
    <w:rsid w:val="00F9708A"/>
    <w:rsid w:val="00FB09D6"/>
    <w:rsid w:val="00FB5A65"/>
    <w:rsid w:val="00FB6A83"/>
    <w:rsid w:val="00FE0886"/>
    <w:rsid w:val="00FE2028"/>
    <w:rsid w:val="00FE46F3"/>
    <w:rsid w:val="00FF2BBB"/>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A0492D"/>
  <w15:docId w15:val="{B07C0D7D-FF95-48EB-B42A-4763E7179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AU"/>
    </w:rPr>
  </w:style>
  <w:style w:type="paragraph" w:styleId="Heading1">
    <w:name w:val="heading 1"/>
    <w:aliases w:val="Heading,tchead,h1,h1 chapter heading,A MAJOR/BOLD,ASAPHeading 1,1,list 1,- Section"/>
    <w:basedOn w:val="Normal"/>
    <w:next w:val="Normal"/>
    <w:qFormat/>
    <w:pPr>
      <w:keepNext/>
      <w:numPr>
        <w:numId w:val="1"/>
      </w:numPr>
      <w:pBdr>
        <w:top w:val="single" w:sz="48" w:space="1" w:color="auto"/>
      </w:pBdr>
      <w:tabs>
        <w:tab w:val="left" w:pos="697"/>
      </w:tabs>
      <w:spacing w:before="120" w:after="120"/>
      <w:ind w:left="357" w:hanging="357"/>
      <w:outlineLvl w:val="0"/>
    </w:pPr>
    <w:rPr>
      <w:rFonts w:ascii="Arial" w:hAnsi="Arial"/>
      <w:b/>
      <w:kern w:val="28"/>
      <w:sz w:val="28"/>
      <w:szCs w:val="20"/>
      <w:lang w:val="en-US"/>
    </w:rPr>
  </w:style>
  <w:style w:type="paragraph" w:styleId="Heading2">
    <w:name w:val="heading 2"/>
    <w:aliases w:val="heading 2new,Heading 2 Hidden,h2,H2,2m,Level 2 Head,h2 main heading,B Sub/Bold,ASAPHeading 2,S&amp;P Heading 2,2,W6_Hdg2,- Main"/>
    <w:basedOn w:val="BodyText"/>
    <w:next w:val="BodyText"/>
    <w:qFormat/>
    <w:pPr>
      <w:keepNext/>
      <w:keepLines/>
      <w:numPr>
        <w:ilvl w:val="1"/>
        <w:numId w:val="1"/>
      </w:numPr>
      <w:pBdr>
        <w:top w:val="single" w:sz="24" w:space="4" w:color="auto"/>
      </w:pBdr>
      <w:tabs>
        <w:tab w:val="clear" w:pos="792"/>
        <w:tab w:val="left" w:pos="1134"/>
      </w:tabs>
      <w:spacing w:before="480" w:after="240"/>
      <w:outlineLvl w:val="1"/>
    </w:pPr>
    <w:rPr>
      <w:rFonts w:ascii="Book Antiqua" w:hAnsi="Book Antiqua"/>
      <w:b/>
      <w:noProof w:val="0"/>
      <w:sz w:val="28"/>
      <w:szCs w:val="20"/>
      <w:lang w:val="en-US"/>
    </w:rPr>
  </w:style>
  <w:style w:type="paragraph" w:styleId="Heading3">
    <w:name w:val="heading 3"/>
    <w:aliases w:val="Heading 3 - old,h3,Head 3,H3,3m,h3 sub heading,C Sub-Sub/Italic,ASAPHeading 3,S&amp;P Heading 3,3,heading 3,- Side"/>
    <w:basedOn w:val="BodyText"/>
    <w:next w:val="BodyText"/>
    <w:qFormat/>
    <w:pPr>
      <w:keepNext/>
      <w:keepLines/>
      <w:numPr>
        <w:ilvl w:val="2"/>
        <w:numId w:val="1"/>
      </w:numPr>
      <w:pBdr>
        <w:top w:val="single" w:sz="18" w:space="1" w:color="auto"/>
      </w:pBdr>
      <w:tabs>
        <w:tab w:val="clear" w:pos="1440"/>
        <w:tab w:val="left" w:pos="1588"/>
      </w:tabs>
      <w:spacing w:before="240"/>
      <w:outlineLvl w:val="2"/>
    </w:pPr>
    <w:rPr>
      <w:rFonts w:ascii="Book Antiqua" w:hAnsi="Book Antiqua"/>
      <w:b/>
      <w:noProof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right" w:pos="7920"/>
      </w:tabs>
    </w:pPr>
    <w:rPr>
      <w:rFonts w:ascii="Book Antiqua" w:hAnsi="Book Antiqua"/>
      <w:sz w:val="16"/>
      <w:szCs w:val="20"/>
      <w:lang w:val="en-US"/>
    </w:rPr>
  </w:style>
  <w:style w:type="paragraph" w:styleId="BodyText">
    <w:name w:val="Body Text"/>
    <w:basedOn w:val="Normal"/>
    <w:autoRedefine/>
    <w:rsid w:val="00244672"/>
    <w:rPr>
      <w:noProof/>
    </w:rPr>
  </w:style>
  <w:style w:type="paragraph" w:styleId="Header">
    <w:name w:val="header"/>
    <w:basedOn w:val="Normal"/>
    <w:link w:val="HeaderChar"/>
    <w:uiPriority w:val="99"/>
    <w:pPr>
      <w:tabs>
        <w:tab w:val="center" w:pos="4153"/>
        <w:tab w:val="right" w:pos="8306"/>
      </w:tabs>
    </w:pPr>
  </w:style>
  <w:style w:type="paragraph" w:styleId="BalloonText">
    <w:name w:val="Balloon Text"/>
    <w:basedOn w:val="Normal"/>
    <w:semiHidden/>
    <w:rsid w:val="00F35671"/>
    <w:rPr>
      <w:rFonts w:ascii="Tahoma" w:hAnsi="Tahoma" w:cs="Tahoma"/>
      <w:sz w:val="16"/>
      <w:szCs w:val="16"/>
    </w:rPr>
  </w:style>
  <w:style w:type="character" w:styleId="PlaceholderText">
    <w:name w:val="Placeholder Text"/>
    <w:basedOn w:val="DefaultParagraphFont"/>
    <w:uiPriority w:val="99"/>
    <w:semiHidden/>
    <w:rsid w:val="00E7109D"/>
    <w:rPr>
      <w:color w:val="808080"/>
    </w:rPr>
  </w:style>
  <w:style w:type="table" w:styleId="TableGrid">
    <w:name w:val="Table Grid"/>
    <w:basedOn w:val="TableNormal"/>
    <w:rsid w:val="00E12F9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3D5CA3"/>
    <w:rPr>
      <w:sz w:val="24"/>
      <w:szCs w:val="24"/>
      <w:lang w:val="en-AU"/>
    </w:rPr>
  </w:style>
  <w:style w:type="paragraph" w:styleId="ListParagraph">
    <w:name w:val="List Paragraph"/>
    <w:basedOn w:val="Normal"/>
    <w:uiPriority w:val="34"/>
    <w:qFormat/>
    <w:rsid w:val="008B6F45"/>
    <w:pPr>
      <w:ind w:left="720"/>
      <w:contextualSpacing/>
    </w:pPr>
  </w:style>
  <w:style w:type="table" w:customStyle="1" w:styleId="TableGrid1">
    <w:name w:val="Table Grid1"/>
    <w:basedOn w:val="TableNormal"/>
    <w:next w:val="TableGrid"/>
    <w:rsid w:val="008B6F45"/>
    <w:rPr>
      <w:rFonts w:ascii="Arial" w:eastAsia="SimSun" w:hAnsi="Arial"/>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cmfinance.com/class_action/quinti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peralderman.com.au/class-actions/quintis-limited-class-a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taylor@lcmfinance.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INshareholder@piperalderman.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Order Template 1 - FCA General - Judge" ma:contentTypeID="0x0101002660ECA7A2BC9E48BEC14588AF8062EE008CEE4AFA7150424DAB00B5F461CFD9B5" ma:contentTypeVersion="0" ma:contentTypeDescription="Create a new document." ma:contentTypeScope="" ma:versionID="161dd46851f7e51dd6be3df5a88c5f71">
  <xsd:schema xmlns:xsd="http://www.w3.org/2001/XMLSchema" xmlns:xs="http://www.w3.org/2001/XMLSchema" xmlns:p="http://schemas.microsoft.com/office/2006/metadata/properties" xmlns:ns2="85512599-8531-48e1-9b90-9215d01f2c32" targetNamespace="http://schemas.microsoft.com/office/2006/metadata/properties" ma:root="true" ma:fieldsID="ede5ed72ed21fbe91dfc99ac9588cd34" ns2:_="">
    <xsd:import namespace="85512599-8531-48e1-9b90-9215d01f2c32"/>
    <xsd:element name="properties">
      <xsd:complexType>
        <xsd:sequence>
          <xsd:element name="documentManagement">
            <xsd:complexType>
              <xsd:all>
                <xsd:element ref="ns2:Document_x0020_Type" minOccurs="0"/>
                <xsd:element ref="ns2:Document_x0020_Title" minOccurs="0"/>
                <xsd:element ref="ns2:Date_x0020_Filed" minOccurs="0"/>
                <xsd:element ref="ns2:Filed_x0020_By" minOccurs="0"/>
                <xsd:element ref="ns2:Record_x0020_Authority"/>
                <xsd:element ref="ns2:File_x0020_Number" minOccurs="0"/>
                <xsd:element ref="ns2:districtregistry" minOccurs="0"/>
                <xsd:element ref="ns2:orderdivision" minOccurs="0"/>
                <xsd:element ref="ns2:showorderinccp" minOccurs="0"/>
                <xsd:element ref="ns2:Listed_x0020_To" minOccurs="0"/>
                <xsd:element ref="ns2:Listing_x0020_DateTime" minOccurs="0"/>
                <xsd:element ref="ns2:listinglocation" minOccurs="0"/>
                <xsd:element ref="ns2:registryaddress" minOccurs="0"/>
                <xsd:element ref="ns2:registryphonenumber" minOccurs="0"/>
                <xsd:element ref="ns2:inspectingcoding" minOccurs="0"/>
                <xsd:element ref="ns2:listingrolid"/>
                <xsd:element ref="ns2:outcomeid" minOccurs="0"/>
                <xsd:element ref="ns2:Stamping_x005f_x0020_Status" minOccurs="0"/>
                <xsd:element ref="ns2:orderstatus" minOccurs="0"/>
                <xsd:element ref="ns2:Registry_x005f_x0020_Name" minOccurs="0"/>
                <xsd:element ref="ns2:hideprevious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Document_x0020_Title" ma:index="9" nillable="true" ma:displayName="Document Title" ma:internalName="Document_x0020_Title">
      <xsd:simpleType>
        <xsd:restriction base="dms:Text"/>
      </xsd:simpleType>
    </xsd:element>
    <xsd:element name="Date_x0020_Filed" ma:index="10" nillable="true" ma:displayName="Date Filed" ma:description="Date=dd/MMM/yyyy Time=hh:mm AM/PM" ma:format="DateTime" ma:internalName="Date_x0020_Filed">
      <xsd:simpleType>
        <xsd:restriction base="dms:DateTime"/>
      </xsd:simpleType>
    </xsd:element>
    <xsd:element name="Filed_x0020_By" ma:index="11" nillable="true" ma:displayName="Filed By" ma:internalName="Filed_x0020_By">
      <xsd:simpleType>
        <xsd:restriction base="dms:Note">
          <xsd:maxLength value="255"/>
        </xsd:restriction>
      </xsd:simpleType>
    </xsd:element>
    <xsd:element name="Record_x0020_Authority" ma:index="12" ma:displayName="Record Authority" ma:description="Part A - Status of National Archive or Held in Perpetuity &#10;&#10;Part B - Candidate to be destroyed after a set period of time in accordance with the FCA and FCC Records Authority." ma:format="Dropdown" ma:internalName="Record_x0020_Authority" ma:readOnly="false">
      <xsd:simpleType>
        <xsd:restriction base="dms:Choice">
          <xsd:enumeration value="A"/>
          <xsd:enumeration value="B"/>
        </xsd:restriction>
      </xsd:simpleType>
    </xsd:element>
    <xsd:element name="File_x0020_Number" ma:index="13" nillable="true" ma:displayName="File Number" ma:internalName="File_x0020_Number">
      <xsd:simpleType>
        <xsd:restriction base="dms:Text"/>
      </xsd:simpleType>
    </xsd:element>
    <xsd:element name="districtregistry" ma:index="14" nillable="true" ma:displayName="District Registry" ma:description="District Registry" ma:internalName="districtregistry">
      <xsd:simpleType>
        <xsd:restriction base="dms:Text"/>
      </xsd:simpleType>
    </xsd:element>
    <xsd:element name="orderdivision" ma:index="15" nillable="true" ma:displayName="Division" ma:description="Division" ma:internalName="orderdivision">
      <xsd:simpleType>
        <xsd:restriction base="dms:Text"/>
      </xsd:simpleType>
    </xsd:element>
    <xsd:element name="showorderinccp" ma:index="16" nillable="true" ma:displayName="Show Order in CCP" ma:description="Show Order in CCP" ma:internalName="showorderinccp">
      <xsd:simpleType>
        <xsd:restriction base="dms:Text">
          <xsd:maxLength value="255"/>
        </xsd:restriction>
      </xsd:simpleType>
    </xsd:element>
    <xsd:element name="Listed_x0020_To" ma:index="17" nillable="true" ma:displayName="Listed To" ma:description="In case of Multiple, must be seperated by &quot;;&quot; character" ma:internalName="Listed_x0020_To">
      <xsd:simpleType>
        <xsd:restriction base="dms:Note">
          <xsd:maxLength value="255"/>
        </xsd:restriction>
      </xsd:simpleType>
    </xsd:element>
    <xsd:element name="Listing_x0020_DateTime" ma:index="18" nillable="true" ma:displayName="Listing DateTime" ma:description="Date=dd/MMM/yyyy Time=hh:mm AM/PM" ma:format="DateTime" ma:internalName="Listing_x0020_DateTime">
      <xsd:simpleType>
        <xsd:restriction base="dms:DateTime"/>
      </xsd:simpleType>
    </xsd:element>
    <xsd:element name="listinglocation" ma:index="19" nillable="true" ma:displayName="Listing location" ma:description="Listing location" ma:indexed="true" ma:internalName="listinglocation">
      <xsd:simpleType>
        <xsd:restriction base="dms:Text"/>
      </xsd:simpleType>
    </xsd:element>
    <xsd:element name="registryaddress" ma:index="20" nillable="true" ma:displayName="Registry address" ma:description="Registry address" ma:internalName="registryaddress">
      <xsd:simpleType>
        <xsd:restriction base="dms:Text"/>
      </xsd:simpleType>
    </xsd:element>
    <xsd:element name="registryphonenumber" ma:index="21" nillable="true" ma:displayName="Registry phone number" ma:description="Registry phone number" ma:internalName="registryphonenumber">
      <xsd:simpleType>
        <xsd:restriction base="dms:Text"/>
      </xsd:simpleType>
    </xsd:element>
    <xsd:element name="inspectingcoding" ma:index="22" nillable="true" ma:displayName="Inspecting Coding" ma:default="0" ma:description="Inspecting Coding" ma:internalName="inspectingcoding">
      <xsd:simpleType>
        <xsd:restriction base="dms:Boolean"/>
      </xsd:simpleType>
    </xsd:element>
    <xsd:element name="listingrolid" ma:index="23" ma:displayName="Listing RoL Id" ma:description="Listing RoL Id" ma:indexed="true" ma:internalName="listingrolid" ma:readOnly="false">
      <xsd:simpleType>
        <xsd:restriction base="dms:Text">
          <xsd:maxLength value="255"/>
        </xsd:restriction>
      </xsd:simpleType>
    </xsd:element>
    <xsd:element name="outcomeid" ma:index="24" nillable="true" ma:displayName="Outcome ID" ma:description="Outcome ID" ma:indexed="true" ma:internalName="outcomeid" ma:readOnly="false">
      <xsd:simpleType>
        <xsd:restriction base="dms:Text">
          <xsd:maxLength value="255"/>
        </xsd:restriction>
      </xsd:simpleType>
    </xsd:element>
    <xsd:element name="Stamping_x005f_x0020_Status" ma:index="25" nillable="true" ma:displayName="Stamping Status" ma:description="Stamping Status" ma:internalName="Stamping_x0020_Status">
      <xsd:simpleType>
        <xsd:restriction base="dms:Text"/>
      </xsd:simpleType>
    </xsd:element>
    <xsd:element name="orderstatus" ma:index="26" nillable="true" ma:displayName="Order Status" ma:description="Order Status" ma:indexed="true" ma:internalName="orderstatus">
      <xsd:simpleType>
        <xsd:restriction base="dms:Text"/>
      </xsd:simpleType>
    </xsd:element>
    <xsd:element name="Registry_x005f_x0020_Name" ma:index="27" nillable="true" ma:displayName="Registry Name" ma:description="Registry Name" ma:internalName="Registry_x0020_Name">
      <xsd:simpleType>
        <xsd:restriction base="dms:Text"/>
      </xsd:simpleType>
    </xsd:element>
    <xsd:element name="hidepreviousversions" ma:index="28" nillable="true" ma:displayName="Hide Previous Versions" ma:default="1" ma:description="Hide Previous Versions of this order" ma:internalName="hidepreviousversion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sted_x0020_To xmlns="85512599-8531-48e1-9b90-9215d01f2c32">JUSTICE LEE</Listed_x0020_To>
    <registryaddress xmlns="85512599-8531-48e1-9b90-9215d01f2c32">Level 17,  Law Courts Building, Queens Square</registryaddress>
    <Filed_x0020_By xmlns="85512599-8531-48e1-9b90-9215d01f2c32" xsi:nil="true"/>
    <Registry_x005f_x0020_Name xmlns="85512599-8531-48e1-9b90-9215d01f2c32">New South Wales District Registry</Registry_x005f_x0020_Name>
    <Record_x0020_Authority xmlns="85512599-8531-48e1-9b90-9215d01f2c32">A</Record_x0020_Authority>
    <Stamping_x005f_x0020_Status xmlns="85512599-8531-48e1-9b90-9215d01f2c32">Stamped</Stamping_x005f_x0020_Status>
    <orderstatus xmlns="85512599-8531-48e1-9b90-9215d01f2c32" xsi:nil="true"/>
    <hidepreviousversions xmlns="85512599-8531-48e1-9b90-9215d01f2c32">true</hidepreviousversions>
    <listingrolid xmlns="85512599-8531-48e1-9b90-9215d01f2c32">432299/DOC25</listingrolid>
    <File_x0020_Number xmlns="85512599-8531-48e1-9b90-9215d01f2c32">NSD862/2018</File_x0020_Number>
    <Date_x0020_Filed xmlns="85512599-8531-48e1-9b90-9215d01f2c32">2020-04-15T05:37:39+00:00</Date_x0020_Filed>
    <orderdivision xmlns="85512599-8531-48e1-9b90-9215d01f2c32">General</orderdivision>
    <showorderinccp xmlns="85512599-8531-48e1-9b90-9215d01f2c32">false</showorderinccp>
    <Listing_x0020_DateTime xmlns="85512599-8531-48e1-9b90-9215d01f2c32">2020-04-09T06:15:00+00:00</Listing_x0020_DateTime>
    <Document_x0020_Type xmlns="85512599-8531-48e1-9b90-9215d01f2c32">Order</Document_x0020_Type>
    <districtregistry xmlns="85512599-8531-48e1-9b90-9215d01f2c32">New South Wales</districtregistry>
    <Document_x0020_Title xmlns="85512599-8531-48e1-9b90-9215d01f2c32">Order_JUSTICELEE</Document_x0020_Title>
    <registryphonenumber xmlns="85512599-8531-48e1-9b90-9215d01f2c32">02 9230 8567</registryphonenumber>
    <listinglocation xmlns="85512599-8531-48e1-9b90-9215d01f2c32">Sydney</listinglocation>
    <inspectingcoding xmlns="85512599-8531-48e1-9b90-9215d01f2c32">false</inspectingcoding>
    <outcomeid xmlns="85512599-8531-48e1-9b90-9215d01f2c32">D-ADJPREH</outcom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5D44E-8D5C-43AA-8C4A-74A4041F2380}">
  <ds:schemaRefs>
    <ds:schemaRef ds:uri="http://schemas.microsoft.com/sharepoint/v3/contenttype/forms"/>
  </ds:schemaRefs>
</ds:datastoreItem>
</file>

<file path=customXml/itemProps2.xml><?xml version="1.0" encoding="utf-8"?>
<ds:datastoreItem xmlns:ds="http://schemas.openxmlformats.org/officeDocument/2006/customXml" ds:itemID="{1B50A15C-C50C-47E6-AD4D-BE31707B0D9B}">
  <ds:schemaRefs>
    <ds:schemaRef ds:uri="http://schemas.microsoft.com/office/2006/metadata/longProperties"/>
  </ds:schemaRefs>
</ds:datastoreItem>
</file>

<file path=customXml/itemProps3.xml><?xml version="1.0" encoding="utf-8"?>
<ds:datastoreItem xmlns:ds="http://schemas.openxmlformats.org/officeDocument/2006/customXml" ds:itemID="{6BE5563A-7C51-48A9-AEC5-05F7DAEEF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5059FB-CAC5-49F2-9B40-38D6DAE3BBAF}">
  <ds:schemaRefs>
    <ds:schemaRef ds:uri="http://schemas.microsoft.com/office/2006/metadata/properties"/>
    <ds:schemaRef ds:uri="http://schemas.microsoft.com/office/infopath/2007/PartnerControls"/>
    <ds:schemaRef ds:uri="85512599-8531-48e1-9b90-9215d01f2c32"/>
  </ds:schemaRefs>
</ds:datastoreItem>
</file>

<file path=customXml/itemProps5.xml><?xml version="1.0" encoding="utf-8"?>
<ds:datastoreItem xmlns:ds="http://schemas.openxmlformats.org/officeDocument/2006/customXml" ds:itemID="{E8A0D414-455F-4EDF-8FBE-F8E894A7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Order_JUSTICELEE_DOC25</vt:lpstr>
    </vt:vector>
  </TitlesOfParts>
  <Company>Federal Court of Australia</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Order_JUSTICELEE_DOC25</dc:title>
  <dc:creator>Contoso Administrator</dc:creator>
  <cp:lastModifiedBy>Megan Carey</cp:lastModifiedBy>
  <cp:revision>2</cp:revision>
  <cp:lastPrinted>2009-08-20T04:48:00Z</cp:lastPrinted>
  <dcterms:created xsi:type="dcterms:W3CDTF">2020-04-19T23:17:00Z</dcterms:created>
  <dcterms:modified xsi:type="dcterms:W3CDTF">2020-04-19T23:17:00Z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17900</vt:r8>
  </property>
  <property fmtid="{D5CDD505-2E9C-101B-9397-08002B2CF9AE}" pid="3" name="Document Type">
    <vt:lpwstr>Technical Specification</vt:lpwstr>
  </property>
  <property fmtid="{D5CDD505-2E9C-101B-9397-08002B2CF9AE}" pid="4" name="EmailTo">
    <vt:lpwstr/>
  </property>
  <property fmtid="{D5CDD505-2E9C-101B-9397-08002B2CF9AE}" pid="5" name="EmailHeaders">
    <vt:lpwstr/>
  </property>
  <property fmtid="{D5CDD505-2E9C-101B-9397-08002B2CF9AE}" pid="6" name="EmailSender">
    <vt:lpwstr/>
  </property>
  <property fmtid="{D5CDD505-2E9C-101B-9397-08002B2CF9AE}" pid="7" name="EmailFrom">
    <vt:lpwstr/>
  </property>
  <property fmtid="{D5CDD505-2E9C-101B-9397-08002B2CF9AE}" pid="8" name="EmailSubject">
    <vt:lpwstr/>
  </property>
  <property fmtid="{D5CDD505-2E9C-101B-9397-08002B2CF9AE}" pid="9" name="EmailCc">
    <vt:lpwstr/>
  </property>
  <property fmtid="{D5CDD505-2E9C-101B-9397-08002B2CF9AE}" pid="10" name="ContentTypeId">
    <vt:lpwstr>0x0101002660ECA7A2BC9E48BEC14588AF8062EE008CEE4AFA7150424DAB00B5F461CFD9B5</vt:lpwstr>
  </property>
  <property fmtid="{D5CDD505-2E9C-101B-9397-08002B2CF9AE}" pid="11" name="isformultiplejudges">
    <vt:bool>false</vt:bool>
  </property>
</Properties>
</file>