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6D294" w14:textId="77777777" w:rsidR="0009537C" w:rsidRPr="00061978" w:rsidRDefault="00581E22" w:rsidP="00BE3A2D">
      <w:pPr>
        <w:pStyle w:val="Heading1"/>
      </w:pPr>
      <w:r w:rsidRPr="00061978">
        <w:t>OVERSEAS SERVICE AND EVIDENCE</w:t>
      </w:r>
      <w:r w:rsidR="00147278" w:rsidRPr="00061978">
        <w:t xml:space="preserve"> </w:t>
      </w:r>
      <w:r w:rsidR="00BE3A2D" w:rsidRPr="00061978">
        <w:t>PRACTICE NOTE (GPN-OSE)</w:t>
      </w:r>
    </w:p>
    <w:p w14:paraId="7EA93F65" w14:textId="77777777" w:rsidR="00BE3A2D" w:rsidRPr="00061978" w:rsidRDefault="00BE3A2D" w:rsidP="00BE3A2D">
      <w:pPr>
        <w:pStyle w:val="Heading2"/>
      </w:pPr>
      <w:r w:rsidRPr="00061978">
        <w:t>General Practice Note</w:t>
      </w:r>
    </w:p>
    <w:p w14:paraId="3DF1F868" w14:textId="77777777" w:rsidR="00AE641F" w:rsidRPr="00061978" w:rsidRDefault="00AE641F" w:rsidP="002A07E8">
      <w:pPr>
        <w:pStyle w:val="Heading3"/>
      </w:pPr>
      <w:r w:rsidRPr="00061978">
        <w:t xml:space="preserve">INTRODUCTION </w:t>
      </w:r>
    </w:p>
    <w:p w14:paraId="06D38B38" w14:textId="1D9B3384" w:rsidR="00FA5BED" w:rsidRPr="00061978" w:rsidRDefault="00A56F00" w:rsidP="00FA5BED">
      <w:pPr>
        <w:pStyle w:val="ListParagraph"/>
        <w:numPr>
          <w:ilvl w:val="1"/>
          <w:numId w:val="1"/>
        </w:numPr>
        <w:contextualSpacing w:val="0"/>
      </w:pPr>
      <w:r w:rsidRPr="00061978">
        <w:t>This practice note provides guid</w:t>
      </w:r>
      <w:r w:rsidR="001A2FBF" w:rsidRPr="00061978">
        <w:t xml:space="preserve">ance on service of originating </w:t>
      </w:r>
      <w:r w:rsidR="008520B7" w:rsidRPr="00061978">
        <w:t xml:space="preserve">applications </w:t>
      </w:r>
      <w:r w:rsidR="001A2FBF" w:rsidRPr="00061978">
        <w:t xml:space="preserve">and other documents outside Australia, as well as on </w:t>
      </w:r>
      <w:r w:rsidR="008520B7" w:rsidRPr="00061978">
        <w:t xml:space="preserve">taking </w:t>
      </w:r>
      <w:r w:rsidR="001A2FBF" w:rsidRPr="00061978">
        <w:t>evidence abroad.</w:t>
      </w:r>
      <w:r w:rsidR="0073791D" w:rsidRPr="00061978">
        <w:t xml:space="preserve"> </w:t>
      </w:r>
      <w:r w:rsidR="001A2FBF" w:rsidRPr="00061978">
        <w:t xml:space="preserve">Subject to paragraph </w:t>
      </w:r>
      <w:r w:rsidR="00E71C01" w:rsidRPr="00743ADB">
        <w:t>2.</w:t>
      </w:r>
      <w:r w:rsidR="00E64F0E" w:rsidRPr="00743ADB">
        <w:t>7</w:t>
      </w:r>
      <w:r w:rsidR="00214A14" w:rsidRPr="00061978">
        <w:t xml:space="preserve"> </w:t>
      </w:r>
      <w:r w:rsidR="001A2FBF" w:rsidRPr="00061978">
        <w:t>below, this practice note applies to all proceedings in the Federal Court.</w:t>
      </w:r>
      <w:r w:rsidR="0073791D" w:rsidRPr="00061978">
        <w:t xml:space="preserve"> </w:t>
      </w:r>
    </w:p>
    <w:p w14:paraId="7C90AA39" w14:textId="77777777" w:rsidR="00A56F00" w:rsidRPr="00061978" w:rsidRDefault="00FA5BED" w:rsidP="00FA5BED">
      <w:pPr>
        <w:pStyle w:val="ListParagraph"/>
        <w:numPr>
          <w:ilvl w:val="1"/>
          <w:numId w:val="1"/>
        </w:numPr>
        <w:contextualSpacing w:val="0"/>
      </w:pPr>
      <w:r w:rsidRPr="00061978">
        <w:t xml:space="preserve">This practice note </w:t>
      </w:r>
      <w:r w:rsidR="00A56F00" w:rsidRPr="00061978">
        <w:t>takes effect from the date it is issued and, to the extent practicable, applies to proceedings whether filed before, or after, the date of issuing.</w:t>
      </w:r>
    </w:p>
    <w:p w14:paraId="54DF4677" w14:textId="77777777" w:rsidR="008466F8" w:rsidRPr="00061978" w:rsidRDefault="00AE641F" w:rsidP="002A07E8">
      <w:pPr>
        <w:pStyle w:val="Heading3"/>
      </w:pPr>
      <w:r w:rsidRPr="00061978">
        <w:t>SERVICE OF PROCESS OVERSEAS</w:t>
      </w:r>
    </w:p>
    <w:p w14:paraId="149F2384" w14:textId="07DE3B4D" w:rsidR="00130488" w:rsidRPr="00061978" w:rsidRDefault="00EC347E" w:rsidP="00FA5BED">
      <w:pPr>
        <w:pStyle w:val="ListParagraph"/>
        <w:numPr>
          <w:ilvl w:val="1"/>
          <w:numId w:val="1"/>
        </w:numPr>
        <w:contextualSpacing w:val="0"/>
        <w:rPr>
          <w:szCs w:val="24"/>
        </w:rPr>
      </w:pPr>
      <w:r w:rsidRPr="00061978">
        <w:rPr>
          <w:szCs w:val="24"/>
        </w:rPr>
        <w:t xml:space="preserve">The kinds of proceedings in which an originating application may be served outside Australia </w:t>
      </w:r>
      <w:r w:rsidR="00F73742" w:rsidRPr="00061978">
        <w:rPr>
          <w:szCs w:val="24"/>
        </w:rPr>
        <w:t xml:space="preserve">without leave </w:t>
      </w:r>
      <w:r w:rsidRPr="00061978">
        <w:rPr>
          <w:szCs w:val="24"/>
        </w:rPr>
        <w:t xml:space="preserve">are </w:t>
      </w:r>
      <w:r w:rsidR="00D872CB" w:rsidRPr="00061978">
        <w:rPr>
          <w:szCs w:val="24"/>
        </w:rPr>
        <w:t xml:space="preserve">identified </w:t>
      </w:r>
      <w:r w:rsidRPr="00061978">
        <w:rPr>
          <w:szCs w:val="24"/>
        </w:rPr>
        <w:t>in r 10.42 of the</w:t>
      </w:r>
      <w:r w:rsidR="00D82396" w:rsidRPr="00061978">
        <w:rPr>
          <w:szCs w:val="24"/>
        </w:rPr>
        <w:t xml:space="preserve"> </w:t>
      </w:r>
      <w:bookmarkStart w:id="0" w:name="_Hlk172635234"/>
      <w:r w:rsidR="00D82396" w:rsidRPr="00061978">
        <w:fldChar w:fldCharType="begin"/>
      </w:r>
      <w:r w:rsidR="00D82396" w:rsidRPr="00061978">
        <w:instrText>HYPERLINK "https://www.legislation.gov.au/F2011L01551/latest/text"</w:instrText>
      </w:r>
      <w:r w:rsidR="00D82396" w:rsidRPr="00061978">
        <w:fldChar w:fldCharType="separate"/>
      </w:r>
      <w:r w:rsidR="00D82396" w:rsidRPr="00061978">
        <w:rPr>
          <w:rStyle w:val="Hyperlink"/>
          <w:i/>
          <w:iCs/>
        </w:rPr>
        <w:t>Federal Court Rules 2011</w:t>
      </w:r>
      <w:r w:rsidR="00D82396" w:rsidRPr="00061978">
        <w:rPr>
          <w:rStyle w:val="Hyperlink"/>
        </w:rPr>
        <w:t xml:space="preserve"> (Cth)</w:t>
      </w:r>
      <w:r w:rsidR="00D82396" w:rsidRPr="00061978">
        <w:fldChar w:fldCharType="end"/>
      </w:r>
      <w:bookmarkEnd w:id="0"/>
      <w:r w:rsidRPr="00061978">
        <w:rPr>
          <w:szCs w:val="24"/>
        </w:rPr>
        <w:t xml:space="preserve"> </w:t>
      </w:r>
      <w:r w:rsidR="00FA5699" w:rsidRPr="00061978">
        <w:rPr>
          <w:szCs w:val="24"/>
        </w:rPr>
        <w:t>(“</w:t>
      </w:r>
      <w:r w:rsidR="00FA5699" w:rsidRPr="00061978">
        <w:rPr>
          <w:b/>
          <w:szCs w:val="24"/>
        </w:rPr>
        <w:t xml:space="preserve">Federal Court </w:t>
      </w:r>
      <w:r w:rsidRPr="00061978">
        <w:rPr>
          <w:b/>
          <w:szCs w:val="24"/>
        </w:rPr>
        <w:t>Rules</w:t>
      </w:r>
      <w:r w:rsidR="00FA5699" w:rsidRPr="00061978">
        <w:rPr>
          <w:szCs w:val="24"/>
        </w:rPr>
        <w:t>”</w:t>
      </w:r>
      <w:r w:rsidRPr="00061978">
        <w:rPr>
          <w:szCs w:val="24"/>
        </w:rPr>
        <w:t>), and include proceedings that are based on a cause of action arising in Australia and proceedings in which the person to be served has submitted to the jurisdiction of the Court.</w:t>
      </w:r>
    </w:p>
    <w:p w14:paraId="38224217" w14:textId="206522C2" w:rsidR="00EC347E" w:rsidRPr="00743ADB" w:rsidRDefault="00F73742" w:rsidP="00FA5BED">
      <w:pPr>
        <w:pStyle w:val="ListParagraph"/>
        <w:numPr>
          <w:ilvl w:val="1"/>
          <w:numId w:val="1"/>
        </w:numPr>
        <w:contextualSpacing w:val="0"/>
        <w:rPr>
          <w:szCs w:val="24"/>
        </w:rPr>
      </w:pPr>
      <w:r w:rsidRPr="00743ADB">
        <w:rPr>
          <w:szCs w:val="24"/>
        </w:rPr>
        <w:t>A proceeding where service i</w:t>
      </w:r>
      <w:r w:rsidR="008520B7" w:rsidRPr="00743ADB">
        <w:rPr>
          <w:szCs w:val="24"/>
        </w:rPr>
        <w:t>s</w:t>
      </w:r>
      <w:r w:rsidRPr="00743ADB">
        <w:rPr>
          <w:szCs w:val="24"/>
        </w:rPr>
        <w:t xml:space="preserve"> not allowed under r 10.42 may be served outside Au</w:t>
      </w:r>
      <w:r w:rsidR="008520B7" w:rsidRPr="00743ADB">
        <w:rPr>
          <w:szCs w:val="24"/>
        </w:rPr>
        <w:t>s</w:t>
      </w:r>
      <w:r w:rsidRPr="00743ADB">
        <w:rPr>
          <w:szCs w:val="24"/>
        </w:rPr>
        <w:t xml:space="preserve">tralia with the leave of the Court pursuant to r 10.43. In such a case, leave </w:t>
      </w:r>
      <w:r w:rsidR="00EC347E" w:rsidRPr="00743ADB">
        <w:rPr>
          <w:szCs w:val="24"/>
        </w:rPr>
        <w:t>of the Court should be obtained prior to serving an originating application or</w:t>
      </w:r>
      <w:r w:rsidR="00FA5699" w:rsidRPr="00743ADB">
        <w:rPr>
          <w:szCs w:val="24"/>
        </w:rPr>
        <w:t xml:space="preserve"> other court document outside</w:t>
      </w:r>
      <w:r w:rsidR="00EC347E" w:rsidRPr="00743ADB">
        <w:rPr>
          <w:szCs w:val="24"/>
        </w:rPr>
        <w:t xml:space="preserve"> Australia.</w:t>
      </w:r>
      <w:r w:rsidR="0073791D" w:rsidRPr="00743ADB">
        <w:rPr>
          <w:szCs w:val="24"/>
        </w:rPr>
        <w:t xml:space="preserve"> </w:t>
      </w:r>
      <w:r w:rsidR="00990D39" w:rsidRPr="00743ADB">
        <w:rPr>
          <w:szCs w:val="24"/>
        </w:rPr>
        <w:t xml:space="preserve">Leave to serve an originating application outside Australia </w:t>
      </w:r>
      <w:r w:rsidR="005E0F7C" w:rsidRPr="00743ADB">
        <w:rPr>
          <w:szCs w:val="24"/>
        </w:rPr>
        <w:t>may</w:t>
      </w:r>
      <w:r w:rsidR="00990D39" w:rsidRPr="00743ADB">
        <w:rPr>
          <w:szCs w:val="24"/>
        </w:rPr>
        <w:t xml:space="preserve"> be granted if the Court </w:t>
      </w:r>
      <w:r w:rsidR="001C6139" w:rsidRPr="00743ADB">
        <w:rPr>
          <w:szCs w:val="24"/>
        </w:rPr>
        <w:t xml:space="preserve">is satisfied that the proceeding </w:t>
      </w:r>
      <w:r w:rsidR="00990D39" w:rsidRPr="00743ADB">
        <w:rPr>
          <w:szCs w:val="24"/>
        </w:rPr>
        <w:t xml:space="preserve">has </w:t>
      </w:r>
      <w:r w:rsidR="001C6139" w:rsidRPr="00743ADB">
        <w:rPr>
          <w:szCs w:val="24"/>
        </w:rPr>
        <w:t>a real and substantial connection to Australia, Australia is an appropriate forum</w:t>
      </w:r>
      <w:r w:rsidR="001A2D5C" w:rsidRPr="00743ADB">
        <w:rPr>
          <w:szCs w:val="24"/>
        </w:rPr>
        <w:t>,</w:t>
      </w:r>
      <w:r w:rsidR="001C6139" w:rsidRPr="00743ADB">
        <w:rPr>
          <w:szCs w:val="24"/>
        </w:rPr>
        <w:t xml:space="preserve"> and in</w:t>
      </w:r>
      <w:r w:rsidR="00C23886" w:rsidRPr="00743ADB">
        <w:rPr>
          <w:szCs w:val="24"/>
        </w:rPr>
        <w:t xml:space="preserve"> all the </w:t>
      </w:r>
      <w:r w:rsidR="001C6139" w:rsidRPr="00743ADB">
        <w:rPr>
          <w:szCs w:val="24"/>
        </w:rPr>
        <w:t xml:space="preserve">circumstances the Court should exercise </w:t>
      </w:r>
      <w:r w:rsidR="00990D39" w:rsidRPr="00743ADB">
        <w:rPr>
          <w:szCs w:val="24"/>
        </w:rPr>
        <w:t>jurisdiction in the proceeding (see r 10.43(4)</w:t>
      </w:r>
      <w:r w:rsidR="00FA5699" w:rsidRPr="00743ADB">
        <w:rPr>
          <w:szCs w:val="24"/>
        </w:rPr>
        <w:t xml:space="preserve"> of the</w:t>
      </w:r>
      <w:r w:rsidR="00C23886" w:rsidRPr="00743ADB">
        <w:rPr>
          <w:szCs w:val="24"/>
        </w:rPr>
        <w:t xml:space="preserve"> </w:t>
      </w:r>
      <w:hyperlink r:id="rId8" w:history="1">
        <w:r w:rsidR="00C23886" w:rsidRPr="00743ADB">
          <w:rPr>
            <w:rStyle w:val="Hyperlink"/>
          </w:rPr>
          <w:t>Federal Court Rules</w:t>
        </w:r>
      </w:hyperlink>
      <w:r w:rsidR="00990D39" w:rsidRPr="00743ADB">
        <w:rPr>
          <w:szCs w:val="24"/>
        </w:rPr>
        <w:t>).</w:t>
      </w:r>
    </w:p>
    <w:p w14:paraId="154E3C9B" w14:textId="62F32CEA" w:rsidR="001C6139" w:rsidRPr="00743ADB" w:rsidRDefault="001C6139" w:rsidP="00FA5BED">
      <w:pPr>
        <w:pStyle w:val="ListParagraph"/>
        <w:numPr>
          <w:ilvl w:val="1"/>
          <w:numId w:val="1"/>
        </w:numPr>
        <w:contextualSpacing w:val="0"/>
        <w:rPr>
          <w:szCs w:val="24"/>
        </w:rPr>
      </w:pPr>
      <w:r w:rsidRPr="00743ADB">
        <w:rPr>
          <w:szCs w:val="24"/>
        </w:rPr>
        <w:t>The Court has a discretion pursuant to r 10.43A to dismiss or stay a proceeding</w:t>
      </w:r>
      <w:r w:rsidR="008520B7" w:rsidRPr="00743ADB">
        <w:rPr>
          <w:szCs w:val="24"/>
        </w:rPr>
        <w:t xml:space="preserve"> </w:t>
      </w:r>
      <w:r w:rsidRPr="00743ADB">
        <w:rPr>
          <w:szCs w:val="24"/>
        </w:rPr>
        <w:t>that has been served outside Australia</w:t>
      </w:r>
      <w:r w:rsidR="008520B7" w:rsidRPr="00743ADB">
        <w:rPr>
          <w:szCs w:val="24"/>
        </w:rPr>
        <w:t xml:space="preserve"> or set aside that service</w:t>
      </w:r>
      <w:r w:rsidRPr="00743ADB">
        <w:rPr>
          <w:szCs w:val="24"/>
        </w:rPr>
        <w:t xml:space="preserve"> on application by the person served, including where it is satisfied that the service of the originating application is not authorised by the </w:t>
      </w:r>
      <w:hyperlink r:id="rId9" w:history="1">
        <w:r w:rsidR="00C23886" w:rsidRPr="00743ADB">
          <w:rPr>
            <w:rStyle w:val="Hyperlink"/>
          </w:rPr>
          <w:t>Federal Court Rules</w:t>
        </w:r>
      </w:hyperlink>
      <w:r w:rsidRPr="00743ADB">
        <w:rPr>
          <w:szCs w:val="24"/>
        </w:rPr>
        <w:t>, Australia is an inappropriate forum</w:t>
      </w:r>
      <w:r w:rsidR="00DF15AA" w:rsidRPr="00743ADB">
        <w:rPr>
          <w:szCs w:val="24"/>
        </w:rPr>
        <w:t>,</w:t>
      </w:r>
      <w:r w:rsidRPr="00743ADB">
        <w:rPr>
          <w:szCs w:val="24"/>
        </w:rPr>
        <w:t xml:space="preserve"> or the claim has insufficient prospects of success to warrant</w:t>
      </w:r>
      <w:r w:rsidR="008520B7" w:rsidRPr="00743ADB">
        <w:rPr>
          <w:szCs w:val="24"/>
        </w:rPr>
        <w:t xml:space="preserve"> putting</w:t>
      </w:r>
      <w:r w:rsidRPr="00743ADB">
        <w:rPr>
          <w:szCs w:val="24"/>
        </w:rPr>
        <w:t xml:space="preserve"> the person served to the time, expense and trouble </w:t>
      </w:r>
      <w:r w:rsidR="008520B7" w:rsidRPr="00743ADB">
        <w:rPr>
          <w:szCs w:val="24"/>
        </w:rPr>
        <w:t xml:space="preserve">of </w:t>
      </w:r>
      <w:r w:rsidRPr="00743ADB">
        <w:rPr>
          <w:szCs w:val="24"/>
        </w:rPr>
        <w:t>defending it.</w:t>
      </w:r>
    </w:p>
    <w:p w14:paraId="7577CE63" w14:textId="14117357" w:rsidR="001C6139" w:rsidRPr="00743ADB" w:rsidRDefault="001C6139" w:rsidP="00FA5BED">
      <w:pPr>
        <w:pStyle w:val="ListParagraph"/>
        <w:numPr>
          <w:ilvl w:val="1"/>
          <w:numId w:val="1"/>
        </w:numPr>
        <w:contextualSpacing w:val="0"/>
        <w:rPr>
          <w:szCs w:val="24"/>
        </w:rPr>
      </w:pPr>
      <w:r w:rsidRPr="00743ADB">
        <w:rPr>
          <w:szCs w:val="24"/>
        </w:rPr>
        <w:t>If a person is served outside Australia</w:t>
      </w:r>
      <w:r w:rsidR="00D872CB" w:rsidRPr="00743ADB">
        <w:rPr>
          <w:szCs w:val="24"/>
        </w:rPr>
        <w:t xml:space="preserve"> with an originating application, the person served must also be served with a notice informing the person of the matters specified in r 10.43B</w:t>
      </w:r>
      <w:r w:rsidR="009D220D" w:rsidRPr="00743ADB">
        <w:rPr>
          <w:szCs w:val="24"/>
        </w:rPr>
        <w:t xml:space="preserve"> and any other documents </w:t>
      </w:r>
      <w:r w:rsidR="00D040CA" w:rsidRPr="00743ADB">
        <w:rPr>
          <w:szCs w:val="24"/>
        </w:rPr>
        <w:t xml:space="preserve">required to accompany the </w:t>
      </w:r>
      <w:r w:rsidR="002A1667" w:rsidRPr="00743ADB">
        <w:rPr>
          <w:szCs w:val="24"/>
        </w:rPr>
        <w:t xml:space="preserve">originating </w:t>
      </w:r>
      <w:r w:rsidR="00D040CA" w:rsidRPr="00743ADB">
        <w:rPr>
          <w:szCs w:val="24"/>
        </w:rPr>
        <w:t>application</w:t>
      </w:r>
      <w:r w:rsidR="002A1667" w:rsidRPr="00743ADB">
        <w:rPr>
          <w:szCs w:val="24"/>
        </w:rPr>
        <w:t>,</w:t>
      </w:r>
      <w:r w:rsidR="00D040CA" w:rsidRPr="00743ADB">
        <w:rPr>
          <w:szCs w:val="24"/>
        </w:rPr>
        <w:t xml:space="preserve"> such as the</w:t>
      </w:r>
      <w:r w:rsidR="002A1667" w:rsidRPr="00743ADB">
        <w:rPr>
          <w:szCs w:val="24"/>
        </w:rPr>
        <w:t xml:space="preserve"> documents</w:t>
      </w:r>
      <w:r w:rsidR="00D040CA" w:rsidRPr="00743ADB">
        <w:rPr>
          <w:szCs w:val="24"/>
        </w:rPr>
        <w:t xml:space="preserve"> required by r 8.05</w:t>
      </w:r>
      <w:r w:rsidR="008C48F4" w:rsidRPr="00743ADB">
        <w:rPr>
          <w:szCs w:val="24"/>
        </w:rPr>
        <w:t xml:space="preserve"> or </w:t>
      </w:r>
      <w:r w:rsidR="00D11C56" w:rsidRPr="00743ADB">
        <w:rPr>
          <w:szCs w:val="24"/>
        </w:rPr>
        <w:t>r </w:t>
      </w:r>
      <w:r w:rsidR="008C48F4" w:rsidRPr="00743ADB">
        <w:rPr>
          <w:szCs w:val="24"/>
        </w:rPr>
        <w:t>10.43</w:t>
      </w:r>
      <w:r w:rsidR="00D11C56" w:rsidRPr="00743ADB">
        <w:rPr>
          <w:szCs w:val="24"/>
        </w:rPr>
        <w:t>(5)</w:t>
      </w:r>
      <w:r w:rsidR="0003544F" w:rsidRPr="00743ADB">
        <w:rPr>
          <w:szCs w:val="24"/>
        </w:rPr>
        <w:t xml:space="preserve"> (see r 10.42</w:t>
      </w:r>
      <w:r w:rsidR="000C51BE" w:rsidRPr="00743ADB">
        <w:rPr>
          <w:szCs w:val="24"/>
        </w:rPr>
        <w:t xml:space="preserve"> and 10.43(1)</w:t>
      </w:r>
      <w:r w:rsidR="0003544F" w:rsidRPr="00743ADB">
        <w:rPr>
          <w:szCs w:val="24"/>
        </w:rPr>
        <w:t>)</w:t>
      </w:r>
      <w:r w:rsidR="00D872CB" w:rsidRPr="00743ADB">
        <w:rPr>
          <w:szCs w:val="24"/>
        </w:rPr>
        <w:t>.</w:t>
      </w:r>
    </w:p>
    <w:p w14:paraId="1035A221" w14:textId="77777777" w:rsidR="00D872CB" w:rsidRPr="00743ADB" w:rsidRDefault="00D872CB" w:rsidP="00FA5BED">
      <w:pPr>
        <w:pStyle w:val="ListParagraph"/>
        <w:numPr>
          <w:ilvl w:val="1"/>
          <w:numId w:val="1"/>
        </w:numPr>
        <w:contextualSpacing w:val="0"/>
        <w:rPr>
          <w:szCs w:val="24"/>
        </w:rPr>
      </w:pPr>
      <w:r w:rsidRPr="00743ADB">
        <w:rPr>
          <w:szCs w:val="24"/>
        </w:rPr>
        <w:t xml:space="preserve">If a person served with an originating application outside Australia does not file a notice of address for service within the time fixed by r 10.43C, the person serving the document may </w:t>
      </w:r>
      <w:r w:rsidRPr="00743ADB">
        <w:rPr>
          <w:szCs w:val="24"/>
        </w:rPr>
        <w:lastRenderedPageBreak/>
        <w:t>not proceed against the person served except with the leave of the Court pursuant to r</w:t>
      </w:r>
      <w:r w:rsidR="008520B7" w:rsidRPr="00743ADB">
        <w:rPr>
          <w:szCs w:val="24"/>
        </w:rPr>
        <w:t> </w:t>
      </w:r>
      <w:r w:rsidRPr="00743ADB">
        <w:rPr>
          <w:szCs w:val="24"/>
        </w:rPr>
        <w:t>10.43D.</w:t>
      </w:r>
    </w:p>
    <w:p w14:paraId="749990B2" w14:textId="77777777" w:rsidR="00E64F0E" w:rsidRPr="00743ADB" w:rsidRDefault="00E64F0E" w:rsidP="00FA5BED">
      <w:pPr>
        <w:pStyle w:val="ListParagraph"/>
        <w:numPr>
          <w:ilvl w:val="1"/>
          <w:numId w:val="1"/>
        </w:numPr>
        <w:contextualSpacing w:val="0"/>
        <w:rPr>
          <w:szCs w:val="24"/>
        </w:rPr>
      </w:pPr>
      <w:r w:rsidRPr="00743ADB">
        <w:rPr>
          <w:szCs w:val="24"/>
        </w:rPr>
        <w:t>Any court document other than an originating application may be served outside Australia with leave of the Court pursuant to r 10.44.</w:t>
      </w:r>
    </w:p>
    <w:p w14:paraId="4250EC28" w14:textId="5D693FF5" w:rsidR="00E71C01" w:rsidRPr="00743ADB" w:rsidRDefault="00E71C01" w:rsidP="00FA5BED">
      <w:pPr>
        <w:pStyle w:val="ListParagraph"/>
        <w:numPr>
          <w:ilvl w:val="1"/>
          <w:numId w:val="1"/>
        </w:numPr>
        <w:contextualSpacing w:val="0"/>
        <w:rPr>
          <w:szCs w:val="24"/>
        </w:rPr>
      </w:pPr>
      <w:r w:rsidRPr="00743ADB">
        <w:t>The</w:t>
      </w:r>
      <w:r w:rsidRPr="00743ADB">
        <w:rPr>
          <w:szCs w:val="24"/>
        </w:rPr>
        <w:t xml:space="preserve"> </w:t>
      </w:r>
      <w:hyperlink r:id="rId10" w:history="1">
        <w:r w:rsidRPr="00743ADB">
          <w:rPr>
            <w:rStyle w:val="Hyperlink"/>
            <w:i/>
            <w:szCs w:val="24"/>
          </w:rPr>
          <w:t>Trans-Tasman Proceedings Act 2010</w:t>
        </w:r>
        <w:r w:rsidRPr="00743ADB">
          <w:rPr>
            <w:rStyle w:val="Hyperlink"/>
            <w:szCs w:val="24"/>
          </w:rPr>
          <w:t xml:space="preserve"> </w:t>
        </w:r>
        <w:r w:rsidR="00FA5699" w:rsidRPr="00743ADB">
          <w:rPr>
            <w:rStyle w:val="Hyperlink"/>
            <w:szCs w:val="24"/>
          </w:rPr>
          <w:t>(Cth)</w:t>
        </w:r>
      </w:hyperlink>
      <w:r w:rsidR="00FA5699" w:rsidRPr="00743ADB">
        <w:rPr>
          <w:szCs w:val="24"/>
        </w:rPr>
        <w:t xml:space="preserve"> </w:t>
      </w:r>
      <w:r w:rsidR="00D82396" w:rsidRPr="00743ADB">
        <w:rPr>
          <w:szCs w:val="24"/>
        </w:rPr>
        <w:t>(</w:t>
      </w:r>
      <w:r w:rsidR="00D82396" w:rsidRPr="00743ADB">
        <w:rPr>
          <w:b/>
          <w:bCs/>
          <w:szCs w:val="24"/>
        </w:rPr>
        <w:t>“</w:t>
      </w:r>
      <w:r w:rsidR="003B2868" w:rsidRPr="00743ADB">
        <w:rPr>
          <w:b/>
          <w:bCs/>
          <w:szCs w:val="24"/>
        </w:rPr>
        <w:t>TTPA</w:t>
      </w:r>
      <w:r w:rsidR="00D82396" w:rsidRPr="00743ADB">
        <w:rPr>
          <w:b/>
          <w:bCs/>
          <w:szCs w:val="24"/>
        </w:rPr>
        <w:t>”</w:t>
      </w:r>
      <w:r w:rsidR="00D82396" w:rsidRPr="00743ADB">
        <w:rPr>
          <w:szCs w:val="24"/>
        </w:rPr>
        <w:t xml:space="preserve">) </w:t>
      </w:r>
      <w:r w:rsidRPr="00743ADB">
        <w:rPr>
          <w:szCs w:val="24"/>
        </w:rPr>
        <w:t>provides for service in New Zealand of initiating documents in civil proceedings started in Australian courts.</w:t>
      </w:r>
      <w:r w:rsidR="0073791D" w:rsidRPr="00743ADB">
        <w:rPr>
          <w:szCs w:val="24"/>
        </w:rPr>
        <w:t xml:space="preserve"> </w:t>
      </w:r>
      <w:r w:rsidR="00E36DAE" w:rsidRPr="00743ADB">
        <w:rPr>
          <w:szCs w:val="24"/>
        </w:rPr>
        <w:t xml:space="preserve">Where </w:t>
      </w:r>
      <w:r w:rsidR="00BD0C81" w:rsidRPr="00743ADB">
        <w:rPr>
          <w:szCs w:val="24"/>
        </w:rPr>
        <w:t xml:space="preserve">service may be effected under </w:t>
      </w:r>
      <w:r w:rsidR="00261265" w:rsidRPr="00743ADB">
        <w:rPr>
          <w:szCs w:val="24"/>
        </w:rPr>
        <w:t>the</w:t>
      </w:r>
      <w:r w:rsidR="003B2868" w:rsidRPr="00743ADB">
        <w:rPr>
          <w:szCs w:val="24"/>
        </w:rPr>
        <w:t xml:space="preserve"> </w:t>
      </w:r>
      <w:hyperlink r:id="rId11" w:history="1">
        <w:r w:rsidR="003B2868" w:rsidRPr="00743ADB">
          <w:rPr>
            <w:rStyle w:val="Hyperlink"/>
            <w:szCs w:val="24"/>
          </w:rPr>
          <w:t>TTPA</w:t>
        </w:r>
      </w:hyperlink>
      <w:r w:rsidR="00E36DAE" w:rsidRPr="00743ADB">
        <w:rPr>
          <w:szCs w:val="24"/>
        </w:rPr>
        <w:t>, a</w:t>
      </w:r>
      <w:r w:rsidRPr="00743ADB">
        <w:rPr>
          <w:szCs w:val="24"/>
        </w:rPr>
        <w:t xml:space="preserve">n applicant in a proceeding in this Court </w:t>
      </w:r>
      <w:r w:rsidR="004D6339" w:rsidRPr="00743ADB">
        <w:rPr>
          <w:szCs w:val="24"/>
        </w:rPr>
        <w:t xml:space="preserve">should </w:t>
      </w:r>
      <w:r w:rsidRPr="00743ADB">
        <w:rPr>
          <w:szCs w:val="24"/>
        </w:rPr>
        <w:t>proceed under that Act rather than under Division 10.4 of the</w:t>
      </w:r>
      <w:r w:rsidR="00EC347E" w:rsidRPr="00743ADB">
        <w:rPr>
          <w:szCs w:val="24"/>
        </w:rPr>
        <w:t xml:space="preserve"> </w:t>
      </w:r>
      <w:hyperlink r:id="rId12" w:history="1">
        <w:r w:rsidR="00D82396" w:rsidRPr="00743ADB">
          <w:rPr>
            <w:rStyle w:val="Hyperlink"/>
          </w:rPr>
          <w:t>Federal Court Rules</w:t>
        </w:r>
      </w:hyperlink>
      <w:r w:rsidR="00D82396" w:rsidRPr="00743ADB">
        <w:rPr>
          <w:szCs w:val="24"/>
        </w:rPr>
        <w:t xml:space="preserve"> </w:t>
      </w:r>
      <w:r w:rsidR="00BD0C81" w:rsidRPr="00743ADB">
        <w:rPr>
          <w:rStyle w:val="Hyperlink"/>
          <w:color w:val="auto"/>
          <w:szCs w:val="24"/>
        </w:rPr>
        <w:t>(see r 10.41)</w:t>
      </w:r>
      <w:r w:rsidRPr="00743ADB">
        <w:rPr>
          <w:szCs w:val="24"/>
        </w:rPr>
        <w:t>.</w:t>
      </w:r>
    </w:p>
    <w:p w14:paraId="67D8CE64" w14:textId="165141CC" w:rsidR="00581E22" w:rsidRPr="00743ADB" w:rsidRDefault="00147278" w:rsidP="004D3333">
      <w:pPr>
        <w:pStyle w:val="ListParagraph"/>
        <w:numPr>
          <w:ilvl w:val="1"/>
          <w:numId w:val="1"/>
        </w:numPr>
        <w:contextualSpacing w:val="0"/>
        <w:rPr>
          <w:szCs w:val="24"/>
        </w:rPr>
      </w:pPr>
      <w:r w:rsidRPr="00743ADB">
        <w:rPr>
          <w:szCs w:val="24"/>
        </w:rPr>
        <w:t xml:space="preserve">A party applying for leave to serve </w:t>
      </w:r>
      <w:r w:rsidR="00130488" w:rsidRPr="00743ADB">
        <w:rPr>
          <w:szCs w:val="24"/>
        </w:rPr>
        <w:t xml:space="preserve">an </w:t>
      </w:r>
      <w:r w:rsidRPr="00743ADB">
        <w:rPr>
          <w:szCs w:val="24"/>
        </w:rPr>
        <w:t xml:space="preserve">originating </w:t>
      </w:r>
      <w:r w:rsidR="00214A14" w:rsidRPr="00743ADB">
        <w:rPr>
          <w:szCs w:val="24"/>
        </w:rPr>
        <w:t xml:space="preserve">application </w:t>
      </w:r>
      <w:r w:rsidRPr="00743ADB">
        <w:rPr>
          <w:szCs w:val="24"/>
        </w:rPr>
        <w:t>or other court documents on a person in a country other than Australia under Division 10.4 of the</w:t>
      </w:r>
      <w:r w:rsidR="00A06513" w:rsidRPr="00743ADB">
        <w:rPr>
          <w:szCs w:val="24"/>
        </w:rPr>
        <w:t xml:space="preserve"> </w:t>
      </w:r>
      <w:hyperlink r:id="rId13" w:history="1">
        <w:r w:rsidR="00D82396" w:rsidRPr="00743ADB">
          <w:rPr>
            <w:rStyle w:val="Hyperlink"/>
          </w:rPr>
          <w:t>Federal Court Rules</w:t>
        </w:r>
      </w:hyperlink>
      <w:r w:rsidR="00D82396" w:rsidRPr="00743ADB">
        <w:rPr>
          <w:szCs w:val="24"/>
        </w:rPr>
        <w:t xml:space="preserve"> </w:t>
      </w:r>
      <w:r w:rsidR="00A06513" w:rsidRPr="00743ADB">
        <w:rPr>
          <w:szCs w:val="24"/>
        </w:rPr>
        <w:t>, or for an order confirming service</w:t>
      </w:r>
      <w:r w:rsidR="00130488" w:rsidRPr="00743ADB">
        <w:rPr>
          <w:szCs w:val="24"/>
        </w:rPr>
        <w:t xml:space="preserve"> already undertaken</w:t>
      </w:r>
      <w:r w:rsidR="00990D39" w:rsidRPr="00743ADB">
        <w:rPr>
          <w:szCs w:val="24"/>
        </w:rPr>
        <w:t xml:space="preserve">, </w:t>
      </w:r>
      <w:r w:rsidRPr="00743ADB">
        <w:rPr>
          <w:szCs w:val="24"/>
        </w:rPr>
        <w:t xml:space="preserve">should support the application with </w:t>
      </w:r>
      <w:r w:rsidR="00990D39" w:rsidRPr="00743ADB">
        <w:rPr>
          <w:szCs w:val="24"/>
        </w:rPr>
        <w:t>an affidavit as required by r</w:t>
      </w:r>
      <w:r w:rsidR="004D3333" w:rsidRPr="00743ADB">
        <w:rPr>
          <w:szCs w:val="24"/>
        </w:rPr>
        <w:t xml:space="preserve"> </w:t>
      </w:r>
      <w:r w:rsidR="00990D39" w:rsidRPr="00743ADB">
        <w:rPr>
          <w:szCs w:val="24"/>
        </w:rPr>
        <w:t>10.43(3) of the</w:t>
      </w:r>
      <w:r w:rsidR="000404AC" w:rsidRPr="00743ADB">
        <w:rPr>
          <w:szCs w:val="24"/>
        </w:rPr>
        <w:t xml:space="preserve"> </w:t>
      </w:r>
      <w:hyperlink r:id="rId14" w:history="1">
        <w:r w:rsidR="000404AC" w:rsidRPr="00743ADB">
          <w:rPr>
            <w:rStyle w:val="Hyperlink"/>
          </w:rPr>
          <w:t>Federal Court Rules</w:t>
        </w:r>
      </w:hyperlink>
      <w:r w:rsidR="000404AC" w:rsidRPr="00743ADB">
        <w:rPr>
          <w:szCs w:val="24"/>
        </w:rPr>
        <w:t xml:space="preserve"> .</w:t>
      </w:r>
      <w:r w:rsidR="0043394D" w:rsidRPr="00743ADB">
        <w:rPr>
          <w:szCs w:val="24"/>
        </w:rPr>
        <w:t xml:space="preserve"> The rules require that the affidavit </w:t>
      </w:r>
      <w:r w:rsidR="00B93F4D" w:rsidRPr="00743ADB">
        <w:rPr>
          <w:szCs w:val="24"/>
        </w:rPr>
        <w:t xml:space="preserve">state any facts or matters related to the desirability of the Court assuming jurisdiction, including the place or country in which the person to be served is or possibly may be found, and </w:t>
      </w:r>
      <w:proofErr w:type="gramStart"/>
      <w:r w:rsidR="00B93F4D" w:rsidRPr="00743ADB">
        <w:rPr>
          <w:szCs w:val="24"/>
        </w:rPr>
        <w:t>whether or not</w:t>
      </w:r>
      <w:proofErr w:type="gramEnd"/>
      <w:r w:rsidR="00B93F4D" w:rsidRPr="00743ADB">
        <w:rPr>
          <w:szCs w:val="24"/>
        </w:rPr>
        <w:t xml:space="preserve"> the person to be served is an Australian citizen</w:t>
      </w:r>
      <w:r w:rsidR="00226D0B" w:rsidRPr="00743ADB">
        <w:rPr>
          <w:szCs w:val="24"/>
        </w:rPr>
        <w:t xml:space="preserve">. </w:t>
      </w:r>
    </w:p>
    <w:p w14:paraId="0372B78F" w14:textId="77777777" w:rsidR="00147278" w:rsidRPr="00061978" w:rsidRDefault="00AE641F" w:rsidP="002A07E8">
      <w:pPr>
        <w:pStyle w:val="Heading3"/>
      </w:pPr>
      <w:r w:rsidRPr="00061978">
        <w:t>TAKING OF EVIDENCE OVERSEAS</w:t>
      </w:r>
    </w:p>
    <w:p w14:paraId="62F8ABA2" w14:textId="050B0D7F" w:rsidR="009F28FE" w:rsidRPr="00061978" w:rsidRDefault="00616EDC" w:rsidP="00101760">
      <w:pPr>
        <w:pStyle w:val="ListParagraph"/>
        <w:numPr>
          <w:ilvl w:val="1"/>
          <w:numId w:val="1"/>
        </w:numPr>
        <w:contextualSpacing w:val="0"/>
        <w:rPr>
          <w:b/>
          <w:i/>
          <w:szCs w:val="24"/>
        </w:rPr>
      </w:pPr>
      <w:r w:rsidRPr="00061978">
        <w:rPr>
          <w:szCs w:val="24"/>
        </w:rPr>
        <w:t xml:space="preserve">Parties and their legal representatives should be aware of the </w:t>
      </w:r>
      <w:hyperlink r:id="rId15" w:history="1">
        <w:r w:rsidRPr="00061978">
          <w:rPr>
            <w:rStyle w:val="Hyperlink"/>
            <w:i/>
            <w:szCs w:val="24"/>
          </w:rPr>
          <w:t>Hague Convention of 18 March 1970 on the Taking of Evidence Abroad in Civil or Commercial Matters</w:t>
        </w:r>
      </w:hyperlink>
      <w:r w:rsidRPr="00061978">
        <w:rPr>
          <w:szCs w:val="24"/>
        </w:rPr>
        <w:t>.</w:t>
      </w:r>
      <w:r w:rsidR="0073791D" w:rsidRPr="00061978">
        <w:rPr>
          <w:szCs w:val="24"/>
        </w:rPr>
        <w:t xml:space="preserve"> </w:t>
      </w:r>
      <w:r w:rsidRPr="00061978">
        <w:rPr>
          <w:szCs w:val="24"/>
        </w:rPr>
        <w:t>There are two fundamental methods of taking evidence abroad under the Convention:</w:t>
      </w:r>
      <w:r w:rsidR="0073791D" w:rsidRPr="00061978">
        <w:rPr>
          <w:szCs w:val="24"/>
        </w:rPr>
        <w:t xml:space="preserve"> </w:t>
      </w:r>
      <w:r w:rsidRPr="00061978">
        <w:rPr>
          <w:szCs w:val="24"/>
        </w:rPr>
        <w:t xml:space="preserve">Chapter </w:t>
      </w:r>
      <w:r w:rsidR="004D3333" w:rsidRPr="00061978">
        <w:rPr>
          <w:szCs w:val="24"/>
        </w:rPr>
        <w:t>I</w:t>
      </w:r>
      <w:r w:rsidRPr="00061978">
        <w:rPr>
          <w:szCs w:val="24"/>
        </w:rPr>
        <w:t xml:space="preserve"> – Letters of Request; and Chapter </w:t>
      </w:r>
      <w:r w:rsidR="004D3333" w:rsidRPr="00061978">
        <w:rPr>
          <w:szCs w:val="24"/>
        </w:rPr>
        <w:t>II</w:t>
      </w:r>
      <w:r w:rsidRPr="00061978">
        <w:rPr>
          <w:szCs w:val="24"/>
        </w:rPr>
        <w:t xml:space="preserve"> – Taking of evidence by Diplomatic Officers, Consular </w:t>
      </w:r>
      <w:proofErr w:type="gramStart"/>
      <w:r w:rsidRPr="00061978">
        <w:rPr>
          <w:szCs w:val="24"/>
        </w:rPr>
        <w:t>Agents</w:t>
      </w:r>
      <w:proofErr w:type="gramEnd"/>
      <w:r w:rsidRPr="00061978">
        <w:rPr>
          <w:szCs w:val="24"/>
        </w:rPr>
        <w:t xml:space="preserve"> and Commissioners.</w:t>
      </w:r>
      <w:r w:rsidR="0073791D" w:rsidRPr="00061978">
        <w:rPr>
          <w:szCs w:val="24"/>
        </w:rPr>
        <w:t xml:space="preserve"> </w:t>
      </w:r>
      <w:r w:rsidRPr="00061978">
        <w:rPr>
          <w:szCs w:val="24"/>
        </w:rPr>
        <w:t xml:space="preserve">The Convention and useful working and explanatory documents can be found on the website of the </w:t>
      </w:r>
      <w:hyperlink r:id="rId16" w:history="1">
        <w:r w:rsidRPr="00061978">
          <w:rPr>
            <w:rStyle w:val="Hyperlink"/>
            <w:szCs w:val="24"/>
          </w:rPr>
          <w:t>Hague Conference on Private International Law</w:t>
        </w:r>
      </w:hyperlink>
      <w:r w:rsidR="007D660F" w:rsidRPr="00061978">
        <w:rPr>
          <w:szCs w:val="24"/>
        </w:rPr>
        <w:t>.</w:t>
      </w:r>
      <w:r w:rsidRPr="00061978">
        <w:rPr>
          <w:rStyle w:val="FootnoteReference"/>
          <w:szCs w:val="24"/>
        </w:rPr>
        <w:footnoteReference w:id="1"/>
      </w:r>
    </w:p>
    <w:p w14:paraId="78DD5903" w14:textId="77777777" w:rsidR="00D15003" w:rsidRPr="00061978" w:rsidRDefault="00D15003" w:rsidP="00FF235E">
      <w:pPr>
        <w:pStyle w:val="Heading5"/>
      </w:pPr>
      <w:r w:rsidRPr="00061978">
        <w:t xml:space="preserve">Applying for an Order to Examine a Witness </w:t>
      </w:r>
      <w:r w:rsidR="00101760" w:rsidRPr="00061978">
        <w:t>outside</w:t>
      </w:r>
      <w:r w:rsidRPr="00061978">
        <w:t xml:space="preserve"> Australia</w:t>
      </w:r>
    </w:p>
    <w:p w14:paraId="5EACCF42" w14:textId="0C15C13E" w:rsidR="00A536BB" w:rsidRPr="00061978" w:rsidRDefault="00A536BB" w:rsidP="00101760">
      <w:pPr>
        <w:pStyle w:val="ListParagraph"/>
        <w:numPr>
          <w:ilvl w:val="1"/>
          <w:numId w:val="1"/>
        </w:numPr>
        <w:contextualSpacing w:val="0"/>
        <w:rPr>
          <w:b/>
          <w:bCs/>
          <w:szCs w:val="24"/>
        </w:rPr>
      </w:pPr>
      <w:r w:rsidRPr="00061978">
        <w:rPr>
          <w:szCs w:val="24"/>
        </w:rPr>
        <w:t xml:space="preserve">A party may apply under </w:t>
      </w:r>
      <w:r w:rsidR="005F46E5" w:rsidRPr="00061978">
        <w:rPr>
          <w:szCs w:val="24"/>
        </w:rPr>
        <w:t>Division 29.2 of the</w:t>
      </w:r>
      <w:r w:rsidR="002A604E" w:rsidRPr="00061978">
        <w:rPr>
          <w:b/>
          <w:bCs/>
          <w:szCs w:val="24"/>
        </w:rPr>
        <w:t xml:space="preserve"> </w:t>
      </w:r>
      <w:hyperlink r:id="rId17" w:history="1">
        <w:r w:rsidR="000404AC" w:rsidRPr="00061978">
          <w:rPr>
            <w:rStyle w:val="Hyperlink"/>
          </w:rPr>
          <w:t>Federal Court Rules</w:t>
        </w:r>
      </w:hyperlink>
      <w:r w:rsidR="000404AC" w:rsidRPr="00061978">
        <w:rPr>
          <w:szCs w:val="24"/>
        </w:rPr>
        <w:t xml:space="preserve"> </w:t>
      </w:r>
      <w:r w:rsidRPr="00061978">
        <w:rPr>
          <w:bCs/>
          <w:szCs w:val="24"/>
        </w:rPr>
        <w:t xml:space="preserve">for an order for the examination of a witness </w:t>
      </w:r>
      <w:r w:rsidR="0067676E" w:rsidRPr="00061978">
        <w:rPr>
          <w:bCs/>
          <w:szCs w:val="24"/>
        </w:rPr>
        <w:t>before a Judge</w:t>
      </w:r>
      <w:r w:rsidR="0067676E" w:rsidRPr="00061978">
        <w:rPr>
          <w:rStyle w:val="FootnoteReference"/>
          <w:bCs/>
          <w:szCs w:val="24"/>
        </w:rPr>
        <w:footnoteReference w:id="2"/>
      </w:r>
      <w:r w:rsidR="0067676E" w:rsidRPr="00061978">
        <w:rPr>
          <w:bCs/>
          <w:szCs w:val="24"/>
        </w:rPr>
        <w:t xml:space="preserve"> </w:t>
      </w:r>
      <w:r w:rsidRPr="00061978">
        <w:rPr>
          <w:bCs/>
          <w:szCs w:val="24"/>
        </w:rPr>
        <w:t>outside Australia.</w:t>
      </w:r>
      <w:r w:rsidR="0073791D" w:rsidRPr="00061978">
        <w:rPr>
          <w:bCs/>
          <w:szCs w:val="24"/>
        </w:rPr>
        <w:t xml:space="preserve"> </w:t>
      </w:r>
      <w:r w:rsidRPr="00061978">
        <w:rPr>
          <w:szCs w:val="24"/>
        </w:rPr>
        <w:t>A</w:t>
      </w:r>
      <w:r w:rsidR="005F46E5" w:rsidRPr="00061978">
        <w:rPr>
          <w:szCs w:val="24"/>
        </w:rPr>
        <w:t xml:space="preserve"> draft of the order </w:t>
      </w:r>
      <w:r w:rsidRPr="00061978">
        <w:rPr>
          <w:szCs w:val="24"/>
        </w:rPr>
        <w:t xml:space="preserve">sought must be </w:t>
      </w:r>
      <w:r w:rsidR="005F46E5" w:rsidRPr="00061978">
        <w:rPr>
          <w:szCs w:val="24"/>
        </w:rPr>
        <w:t xml:space="preserve">lodged with the application (see </w:t>
      </w:r>
      <w:r w:rsidR="00FF0537" w:rsidRPr="00061978">
        <w:rPr>
          <w:szCs w:val="24"/>
        </w:rPr>
        <w:t>r</w:t>
      </w:r>
      <w:r w:rsidR="005F46E5" w:rsidRPr="00061978">
        <w:rPr>
          <w:szCs w:val="24"/>
        </w:rPr>
        <w:t xml:space="preserve"> 29.11(2)</w:t>
      </w:r>
      <w:r w:rsidR="00094D41" w:rsidRPr="00061978">
        <w:rPr>
          <w:szCs w:val="24"/>
        </w:rPr>
        <w:t xml:space="preserve"> of the</w:t>
      </w:r>
      <w:r w:rsidR="000404AC" w:rsidRPr="00061978">
        <w:rPr>
          <w:b/>
          <w:bCs/>
          <w:szCs w:val="24"/>
        </w:rPr>
        <w:t xml:space="preserve"> </w:t>
      </w:r>
      <w:hyperlink r:id="rId18" w:history="1">
        <w:r w:rsidR="000404AC" w:rsidRPr="00061978">
          <w:rPr>
            <w:rStyle w:val="Hyperlink"/>
          </w:rPr>
          <w:t>Federal Court Rules</w:t>
        </w:r>
      </w:hyperlink>
      <w:r w:rsidR="005F46E5" w:rsidRPr="00061978">
        <w:rPr>
          <w:szCs w:val="24"/>
        </w:rPr>
        <w:t>)</w:t>
      </w:r>
      <w:r w:rsidRPr="00061978">
        <w:rPr>
          <w:szCs w:val="24"/>
        </w:rPr>
        <w:t>.</w:t>
      </w:r>
      <w:r w:rsidR="0073791D" w:rsidRPr="00061978">
        <w:rPr>
          <w:szCs w:val="24"/>
        </w:rPr>
        <w:t xml:space="preserve"> </w:t>
      </w:r>
      <w:r w:rsidRPr="00061978">
        <w:rPr>
          <w:szCs w:val="24"/>
        </w:rPr>
        <w:t xml:space="preserve">The application should also be accompanied by an </w:t>
      </w:r>
      <w:r w:rsidR="005F46E5" w:rsidRPr="00061978">
        <w:rPr>
          <w:szCs w:val="24"/>
        </w:rPr>
        <w:t>affidavit or other evidence relied on in support</w:t>
      </w:r>
      <w:r w:rsidRPr="00061978">
        <w:rPr>
          <w:szCs w:val="24"/>
        </w:rPr>
        <w:t>.</w:t>
      </w:r>
    </w:p>
    <w:p w14:paraId="26980AE4" w14:textId="77777777" w:rsidR="0043583B" w:rsidRPr="00061978" w:rsidRDefault="0043583B" w:rsidP="00101760">
      <w:pPr>
        <w:pStyle w:val="ListParagraph"/>
        <w:numPr>
          <w:ilvl w:val="1"/>
          <w:numId w:val="1"/>
        </w:numPr>
        <w:contextualSpacing w:val="0"/>
        <w:rPr>
          <w:b/>
          <w:bCs/>
          <w:szCs w:val="24"/>
        </w:rPr>
      </w:pPr>
      <w:r w:rsidRPr="00061978">
        <w:rPr>
          <w:szCs w:val="24"/>
        </w:rPr>
        <w:t>In deciding whether to make the order, the Court will consider whether the examinee is willing or able to come to Australia to give evidence, whether the evidence is expected to be material and whether, having regard to the interests of the parties to the proceeding, justice will be better served by granting or refusing the order</w:t>
      </w:r>
      <w:r w:rsidR="00094D41" w:rsidRPr="00061978">
        <w:rPr>
          <w:szCs w:val="24"/>
        </w:rPr>
        <w:t>.</w:t>
      </w:r>
      <w:r w:rsidRPr="00061978">
        <w:rPr>
          <w:rStyle w:val="FootnoteReference"/>
          <w:szCs w:val="24"/>
        </w:rPr>
        <w:footnoteReference w:id="3"/>
      </w:r>
    </w:p>
    <w:p w14:paraId="31E6A698" w14:textId="77777777" w:rsidR="005F46E5" w:rsidRPr="00061978" w:rsidRDefault="00A536BB" w:rsidP="00101760">
      <w:pPr>
        <w:pStyle w:val="ListParagraph"/>
        <w:numPr>
          <w:ilvl w:val="1"/>
          <w:numId w:val="1"/>
        </w:numPr>
        <w:contextualSpacing w:val="0"/>
        <w:rPr>
          <w:b/>
          <w:bCs/>
          <w:szCs w:val="24"/>
        </w:rPr>
      </w:pPr>
      <w:r w:rsidRPr="00061978">
        <w:rPr>
          <w:szCs w:val="24"/>
        </w:rPr>
        <w:t>If an order is made</w:t>
      </w:r>
      <w:r w:rsidR="008520B7" w:rsidRPr="00061978">
        <w:rPr>
          <w:szCs w:val="24"/>
        </w:rPr>
        <w:t>,</w:t>
      </w:r>
      <w:r w:rsidRPr="00061978">
        <w:rPr>
          <w:szCs w:val="24"/>
        </w:rPr>
        <w:t xml:space="preserve"> </w:t>
      </w:r>
      <w:r w:rsidR="00CE1D3B" w:rsidRPr="00061978">
        <w:rPr>
          <w:szCs w:val="24"/>
        </w:rPr>
        <w:t>parties should</w:t>
      </w:r>
      <w:r w:rsidRPr="00061978">
        <w:rPr>
          <w:szCs w:val="24"/>
        </w:rPr>
        <w:t xml:space="preserve"> expect</w:t>
      </w:r>
      <w:r w:rsidR="00CE1D3B" w:rsidRPr="00061978">
        <w:rPr>
          <w:szCs w:val="24"/>
        </w:rPr>
        <w:t xml:space="preserve"> that, in the ordinary course</w:t>
      </w:r>
      <w:r w:rsidR="00BF0E19" w:rsidRPr="00061978">
        <w:rPr>
          <w:szCs w:val="24"/>
        </w:rPr>
        <w:t>, the order will</w:t>
      </w:r>
      <w:r w:rsidRPr="00061978">
        <w:rPr>
          <w:szCs w:val="24"/>
        </w:rPr>
        <w:t>:</w:t>
      </w:r>
    </w:p>
    <w:p w14:paraId="7891DFEB" w14:textId="77777777" w:rsidR="00296E89" w:rsidRPr="00061978" w:rsidRDefault="00070685" w:rsidP="003744E5">
      <w:pPr>
        <w:pStyle w:val="ListParagraph"/>
        <w:numPr>
          <w:ilvl w:val="2"/>
          <w:numId w:val="1"/>
        </w:numPr>
        <w:contextualSpacing w:val="0"/>
        <w:rPr>
          <w:b/>
          <w:bCs/>
          <w:szCs w:val="24"/>
        </w:rPr>
      </w:pPr>
      <w:r w:rsidRPr="00061978">
        <w:rPr>
          <w:szCs w:val="24"/>
        </w:rPr>
        <w:lastRenderedPageBreak/>
        <w:t xml:space="preserve">provide </w:t>
      </w:r>
      <w:r w:rsidR="00296E89" w:rsidRPr="00061978">
        <w:rPr>
          <w:szCs w:val="24"/>
        </w:rPr>
        <w:t>that the examination will be conducted before a Judge</w:t>
      </w:r>
      <w:r w:rsidR="00D0677B" w:rsidRPr="00061978">
        <w:rPr>
          <w:szCs w:val="24"/>
        </w:rPr>
        <w:t xml:space="preserve"> </w:t>
      </w:r>
      <w:r w:rsidR="00094D41" w:rsidRPr="00061978">
        <w:rPr>
          <w:szCs w:val="24"/>
        </w:rPr>
        <w:t xml:space="preserve">in a specified place outside </w:t>
      </w:r>
      <w:proofErr w:type="gramStart"/>
      <w:r w:rsidR="00796BCB" w:rsidRPr="00061978">
        <w:rPr>
          <w:szCs w:val="24"/>
        </w:rPr>
        <w:t>Australia</w:t>
      </w:r>
      <w:r w:rsidR="00296E89" w:rsidRPr="00061978">
        <w:rPr>
          <w:szCs w:val="24"/>
        </w:rPr>
        <w:t>;</w:t>
      </w:r>
      <w:proofErr w:type="gramEnd"/>
    </w:p>
    <w:p w14:paraId="0F483E40" w14:textId="77777777" w:rsidR="00296E89" w:rsidRPr="00061978" w:rsidRDefault="00070685" w:rsidP="003744E5">
      <w:pPr>
        <w:pStyle w:val="ListParagraph"/>
        <w:numPr>
          <w:ilvl w:val="2"/>
          <w:numId w:val="1"/>
        </w:numPr>
        <w:contextualSpacing w:val="0"/>
        <w:rPr>
          <w:szCs w:val="24"/>
        </w:rPr>
      </w:pPr>
      <w:r w:rsidRPr="00061978">
        <w:rPr>
          <w:szCs w:val="24"/>
        </w:rPr>
        <w:t xml:space="preserve">provide </w:t>
      </w:r>
      <w:r w:rsidR="00296E89" w:rsidRPr="00061978">
        <w:rPr>
          <w:szCs w:val="24"/>
        </w:rPr>
        <w:t xml:space="preserve">for </w:t>
      </w:r>
      <w:r w:rsidR="005F46E5" w:rsidRPr="00061978">
        <w:rPr>
          <w:szCs w:val="24"/>
        </w:rPr>
        <w:t xml:space="preserve">witnesses (usually named) </w:t>
      </w:r>
      <w:r w:rsidR="00296E89" w:rsidRPr="00061978">
        <w:rPr>
          <w:szCs w:val="24"/>
        </w:rPr>
        <w:t xml:space="preserve">to </w:t>
      </w:r>
      <w:r w:rsidR="005F46E5" w:rsidRPr="00061978">
        <w:rPr>
          <w:szCs w:val="24"/>
        </w:rPr>
        <w:t>be examined</w:t>
      </w:r>
      <w:r w:rsidR="00296E89" w:rsidRPr="00061978">
        <w:rPr>
          <w:szCs w:val="24"/>
        </w:rPr>
        <w:t xml:space="preserve"> on oath or affirmation</w:t>
      </w:r>
      <w:r w:rsidR="005F46E5" w:rsidRPr="00061978">
        <w:rPr>
          <w:szCs w:val="24"/>
        </w:rPr>
        <w:t>; and</w:t>
      </w:r>
    </w:p>
    <w:p w14:paraId="6188C4BC" w14:textId="4BCAF820" w:rsidR="005F46E5" w:rsidRPr="00061978" w:rsidRDefault="005F46E5" w:rsidP="003744E5">
      <w:pPr>
        <w:pStyle w:val="ListParagraph"/>
        <w:numPr>
          <w:ilvl w:val="2"/>
          <w:numId w:val="1"/>
        </w:numPr>
        <w:contextualSpacing w:val="0"/>
        <w:rPr>
          <w:b/>
          <w:bCs/>
          <w:szCs w:val="24"/>
        </w:rPr>
      </w:pPr>
      <w:r w:rsidRPr="00061978">
        <w:rPr>
          <w:szCs w:val="24"/>
        </w:rPr>
        <w:t>be expressly conditional upon the payment into Court of an amount, to be subsequently determined, as provision for</w:t>
      </w:r>
      <w:r w:rsidR="0073791D" w:rsidRPr="00061978">
        <w:rPr>
          <w:szCs w:val="24"/>
        </w:rPr>
        <w:t xml:space="preserve"> </w:t>
      </w:r>
      <w:r w:rsidRPr="00061978">
        <w:rPr>
          <w:szCs w:val="24"/>
        </w:rPr>
        <w:t xml:space="preserve">expenses of the </w:t>
      </w:r>
      <w:r w:rsidR="00796BCB" w:rsidRPr="00061978">
        <w:rPr>
          <w:szCs w:val="24"/>
        </w:rPr>
        <w:t xml:space="preserve">Judge </w:t>
      </w:r>
      <w:r w:rsidRPr="00061978">
        <w:rPr>
          <w:szCs w:val="24"/>
        </w:rPr>
        <w:t xml:space="preserve">and </w:t>
      </w:r>
      <w:r w:rsidR="00796BCB" w:rsidRPr="00061978">
        <w:rPr>
          <w:szCs w:val="24"/>
        </w:rPr>
        <w:t xml:space="preserve">Court </w:t>
      </w:r>
      <w:r w:rsidRPr="00061978">
        <w:rPr>
          <w:szCs w:val="24"/>
        </w:rPr>
        <w:t>staff</w:t>
      </w:r>
      <w:r w:rsidR="001D690E" w:rsidRPr="00061978">
        <w:rPr>
          <w:szCs w:val="24"/>
        </w:rPr>
        <w:t xml:space="preserve"> in relation to the examination.</w:t>
      </w:r>
    </w:p>
    <w:p w14:paraId="56F055EF" w14:textId="77777777" w:rsidR="005F46E5" w:rsidRPr="00061978" w:rsidRDefault="00070685" w:rsidP="00FF235E">
      <w:pPr>
        <w:pStyle w:val="ListParagraph"/>
        <w:numPr>
          <w:ilvl w:val="1"/>
          <w:numId w:val="1"/>
        </w:numPr>
        <w:contextualSpacing w:val="0"/>
        <w:rPr>
          <w:szCs w:val="24"/>
        </w:rPr>
      </w:pPr>
      <w:r w:rsidRPr="00061978">
        <w:rPr>
          <w:szCs w:val="24"/>
        </w:rPr>
        <w:t>T</w:t>
      </w:r>
      <w:r w:rsidR="005F46E5" w:rsidRPr="00061978">
        <w:rPr>
          <w:szCs w:val="24"/>
        </w:rPr>
        <w:t xml:space="preserve">he parties (if appropriate) </w:t>
      </w:r>
      <w:r w:rsidRPr="00061978">
        <w:rPr>
          <w:szCs w:val="24"/>
        </w:rPr>
        <w:t>should</w:t>
      </w:r>
      <w:r w:rsidR="005F46E5" w:rsidRPr="00061978">
        <w:rPr>
          <w:szCs w:val="24"/>
        </w:rPr>
        <w:t xml:space="preserve"> arrange suitable accommodation for the conduct of each examination and for transcription facilities</w:t>
      </w:r>
      <w:r w:rsidRPr="00061978">
        <w:rPr>
          <w:szCs w:val="24"/>
        </w:rPr>
        <w:t>.</w:t>
      </w:r>
    </w:p>
    <w:p w14:paraId="5D1D9268" w14:textId="77777777" w:rsidR="005F46E5" w:rsidRPr="00061978" w:rsidRDefault="00070685" w:rsidP="00101760">
      <w:pPr>
        <w:pStyle w:val="ListParagraph"/>
        <w:numPr>
          <w:ilvl w:val="1"/>
          <w:numId w:val="1"/>
        </w:numPr>
        <w:contextualSpacing w:val="0"/>
        <w:rPr>
          <w:szCs w:val="24"/>
        </w:rPr>
      </w:pPr>
      <w:r w:rsidRPr="00061978">
        <w:rPr>
          <w:szCs w:val="24"/>
        </w:rPr>
        <w:t>T</w:t>
      </w:r>
      <w:r w:rsidR="005F46E5" w:rsidRPr="00061978">
        <w:rPr>
          <w:szCs w:val="24"/>
        </w:rPr>
        <w:t xml:space="preserve">he costs and expenses of, and incidental to, the examinations will be borne in the first instance equally by the parties to the proceedings and, subject to any order </w:t>
      </w:r>
      <w:r w:rsidRPr="00061978">
        <w:rPr>
          <w:szCs w:val="24"/>
        </w:rPr>
        <w:t>to the contrary</w:t>
      </w:r>
      <w:r w:rsidR="005F46E5" w:rsidRPr="00061978">
        <w:rPr>
          <w:szCs w:val="24"/>
        </w:rPr>
        <w:t>, be treated as part of the general costs of the proceeding</w:t>
      </w:r>
      <w:r w:rsidRPr="00061978">
        <w:rPr>
          <w:szCs w:val="24"/>
        </w:rPr>
        <w:t>.</w:t>
      </w:r>
    </w:p>
    <w:p w14:paraId="52867ECA" w14:textId="77777777" w:rsidR="005F46E5" w:rsidRPr="00061978" w:rsidRDefault="00070685" w:rsidP="00E202F1">
      <w:pPr>
        <w:pStyle w:val="ListParagraph"/>
        <w:numPr>
          <w:ilvl w:val="1"/>
          <w:numId w:val="1"/>
        </w:numPr>
        <w:contextualSpacing w:val="0"/>
        <w:rPr>
          <w:szCs w:val="24"/>
        </w:rPr>
      </w:pPr>
      <w:r w:rsidRPr="00061978">
        <w:rPr>
          <w:szCs w:val="24"/>
        </w:rPr>
        <w:t>E</w:t>
      </w:r>
      <w:r w:rsidR="005F46E5" w:rsidRPr="00061978">
        <w:rPr>
          <w:szCs w:val="24"/>
        </w:rPr>
        <w:t xml:space="preserve">vidence </w:t>
      </w:r>
      <w:r w:rsidRPr="00061978">
        <w:rPr>
          <w:szCs w:val="24"/>
        </w:rPr>
        <w:t xml:space="preserve">should be </w:t>
      </w:r>
      <w:r w:rsidR="005F46E5" w:rsidRPr="00061978">
        <w:rPr>
          <w:szCs w:val="24"/>
        </w:rPr>
        <w:t xml:space="preserve">adduced of </w:t>
      </w:r>
      <w:proofErr w:type="gramStart"/>
      <w:r w:rsidR="005F46E5" w:rsidRPr="00061978">
        <w:rPr>
          <w:szCs w:val="24"/>
        </w:rPr>
        <w:t>whether or not</w:t>
      </w:r>
      <w:proofErr w:type="gramEnd"/>
      <w:r w:rsidR="005F46E5" w:rsidRPr="00061978">
        <w:rPr>
          <w:szCs w:val="24"/>
        </w:rPr>
        <w:t xml:space="preserve"> each witness proposed to be examined is an Australian citizen and whether or not each witness</w:t>
      </w:r>
      <w:r w:rsidRPr="00061978">
        <w:rPr>
          <w:szCs w:val="24"/>
        </w:rPr>
        <w:t xml:space="preserve"> is expected </w:t>
      </w:r>
      <w:r w:rsidR="005F46E5" w:rsidRPr="00061978">
        <w:rPr>
          <w:szCs w:val="24"/>
        </w:rPr>
        <w:t>to give evidence voluntarily.</w:t>
      </w:r>
      <w:r w:rsidR="00123F68" w:rsidRPr="00061978">
        <w:rPr>
          <w:szCs w:val="24"/>
        </w:rPr>
        <w:t xml:space="preserve"> </w:t>
      </w:r>
    </w:p>
    <w:p w14:paraId="0CBAF183" w14:textId="449DC302" w:rsidR="005F46E5" w:rsidRPr="00061978" w:rsidRDefault="005F46E5" w:rsidP="00101760">
      <w:pPr>
        <w:pStyle w:val="ListParagraph"/>
        <w:numPr>
          <w:ilvl w:val="1"/>
          <w:numId w:val="1"/>
        </w:numPr>
        <w:contextualSpacing w:val="0"/>
        <w:rPr>
          <w:szCs w:val="24"/>
        </w:rPr>
      </w:pPr>
      <w:r w:rsidRPr="00061978">
        <w:rPr>
          <w:szCs w:val="24"/>
        </w:rPr>
        <w:t>Under Government policy, all official overseas travel by judges of the Court must be approved by the Chief Justice.</w:t>
      </w:r>
      <w:r w:rsidR="0073791D" w:rsidRPr="00061978">
        <w:rPr>
          <w:szCs w:val="24"/>
        </w:rPr>
        <w:t xml:space="preserve"> </w:t>
      </w:r>
      <w:r w:rsidRPr="00061978">
        <w:rPr>
          <w:szCs w:val="24"/>
        </w:rPr>
        <w:t xml:space="preserve">The hearing of any application should be timed to allow the </w:t>
      </w:r>
      <w:r w:rsidR="00094D41" w:rsidRPr="00061978">
        <w:rPr>
          <w:szCs w:val="24"/>
        </w:rPr>
        <w:t>j</w:t>
      </w:r>
      <w:r w:rsidRPr="00061978">
        <w:rPr>
          <w:szCs w:val="24"/>
        </w:rPr>
        <w:t>udge hearing it to consult with the Chief Justice and ascertain whether</w:t>
      </w:r>
      <w:r w:rsidR="001D690E" w:rsidRPr="00061978">
        <w:rPr>
          <w:szCs w:val="24"/>
        </w:rPr>
        <w:t xml:space="preserve">, should an order to </w:t>
      </w:r>
      <w:r w:rsidR="00E202F1" w:rsidRPr="00061978">
        <w:rPr>
          <w:szCs w:val="24"/>
        </w:rPr>
        <w:t>ap</w:t>
      </w:r>
      <w:r w:rsidR="001D690E" w:rsidRPr="00061978">
        <w:rPr>
          <w:szCs w:val="24"/>
        </w:rPr>
        <w:t xml:space="preserve">point a </w:t>
      </w:r>
      <w:r w:rsidR="00094D41" w:rsidRPr="00061978">
        <w:rPr>
          <w:szCs w:val="24"/>
        </w:rPr>
        <w:t>j</w:t>
      </w:r>
      <w:r w:rsidRPr="00061978">
        <w:rPr>
          <w:szCs w:val="24"/>
        </w:rPr>
        <w:t>udge to take evidence out</w:t>
      </w:r>
      <w:r w:rsidR="00094D41" w:rsidRPr="00061978">
        <w:rPr>
          <w:szCs w:val="24"/>
        </w:rPr>
        <w:t>side</w:t>
      </w:r>
      <w:r w:rsidRPr="00061978">
        <w:rPr>
          <w:szCs w:val="24"/>
        </w:rPr>
        <w:t xml:space="preserve"> Australia be made in the proceeding, approval to travel will be given.</w:t>
      </w:r>
    </w:p>
    <w:p w14:paraId="7ACFF82B" w14:textId="77777777" w:rsidR="005F46E5" w:rsidRPr="00061978" w:rsidRDefault="00BB28AF" w:rsidP="00FF235E">
      <w:pPr>
        <w:pStyle w:val="Heading5"/>
      </w:pPr>
      <w:r w:rsidRPr="00061978">
        <w:t>Notification</w:t>
      </w:r>
    </w:p>
    <w:p w14:paraId="177071B3" w14:textId="734F0654" w:rsidR="00E202F1" w:rsidRPr="00061978" w:rsidRDefault="005F46E5" w:rsidP="00500330">
      <w:pPr>
        <w:pStyle w:val="ListParagraph"/>
        <w:numPr>
          <w:ilvl w:val="1"/>
          <w:numId w:val="1"/>
        </w:numPr>
        <w:contextualSpacing w:val="0"/>
        <w:rPr>
          <w:b/>
          <w:bCs/>
          <w:szCs w:val="24"/>
        </w:rPr>
      </w:pPr>
      <w:r w:rsidRPr="00061978">
        <w:rPr>
          <w:szCs w:val="24"/>
        </w:rPr>
        <w:t>Following the making of any order appointing a judge to take evidence out</w:t>
      </w:r>
      <w:r w:rsidR="00094D41" w:rsidRPr="00061978">
        <w:rPr>
          <w:szCs w:val="24"/>
        </w:rPr>
        <w:t>side</w:t>
      </w:r>
      <w:r w:rsidRPr="00061978">
        <w:rPr>
          <w:szCs w:val="24"/>
        </w:rPr>
        <w:t xml:space="preserve"> Australia, the following letters are sent by the Court.</w:t>
      </w:r>
      <w:r w:rsidR="0073791D" w:rsidRPr="00061978">
        <w:rPr>
          <w:szCs w:val="24"/>
        </w:rPr>
        <w:t xml:space="preserve"> </w:t>
      </w:r>
      <w:r w:rsidRPr="00061978">
        <w:rPr>
          <w:szCs w:val="24"/>
        </w:rPr>
        <w:t>Further letters may be necessary to confirm dates and other arrangements.</w:t>
      </w:r>
      <w:r w:rsidRPr="00061978">
        <w:rPr>
          <w:szCs w:val="24"/>
        </w:rPr>
        <w:tab/>
      </w:r>
    </w:p>
    <w:p w14:paraId="4FC69F0B" w14:textId="77777777" w:rsidR="00500330" w:rsidRPr="00061978" w:rsidRDefault="00500330" w:rsidP="004866B6">
      <w:pPr>
        <w:pStyle w:val="ListParagraph"/>
        <w:ind w:left="624"/>
        <w:contextualSpacing w:val="0"/>
        <w:rPr>
          <w:b/>
          <w:bCs/>
          <w:szCs w:val="24"/>
        </w:rPr>
      </w:pPr>
    </w:p>
    <w:tbl>
      <w:tblPr>
        <w:tblStyle w:val="TableGrid"/>
        <w:tblW w:w="0" w:type="auto"/>
        <w:tblInd w:w="675" w:type="dxa"/>
        <w:tblLook w:val="04A0" w:firstRow="1" w:lastRow="0" w:firstColumn="1" w:lastColumn="0" w:noHBand="0" w:noVBand="1"/>
      </w:tblPr>
      <w:tblGrid>
        <w:gridCol w:w="1806"/>
        <w:gridCol w:w="2504"/>
        <w:gridCol w:w="4643"/>
      </w:tblGrid>
      <w:tr w:rsidR="00F34246" w:rsidRPr="00061978" w14:paraId="6C2D30FD" w14:textId="77777777" w:rsidTr="00440A71">
        <w:trPr>
          <w:cantSplit/>
          <w:tblHeader/>
        </w:trPr>
        <w:tc>
          <w:tcPr>
            <w:tcW w:w="1843" w:type="dxa"/>
            <w:shd w:val="clear" w:color="auto" w:fill="BFBFBF" w:themeFill="background1" w:themeFillShade="BF"/>
          </w:tcPr>
          <w:p w14:paraId="11D0399F" w14:textId="77777777" w:rsidR="00F34246" w:rsidRPr="00061978" w:rsidRDefault="00F34246" w:rsidP="00101760">
            <w:pPr>
              <w:spacing w:line="276" w:lineRule="auto"/>
              <w:rPr>
                <w:b/>
                <w:bCs/>
                <w:szCs w:val="24"/>
              </w:rPr>
            </w:pPr>
            <w:r w:rsidRPr="00061978">
              <w:rPr>
                <w:b/>
                <w:bCs/>
                <w:szCs w:val="24"/>
              </w:rPr>
              <w:t>Sender</w:t>
            </w:r>
          </w:p>
        </w:tc>
        <w:tc>
          <w:tcPr>
            <w:tcW w:w="2552" w:type="dxa"/>
            <w:shd w:val="clear" w:color="auto" w:fill="BFBFBF" w:themeFill="background1" w:themeFillShade="BF"/>
          </w:tcPr>
          <w:p w14:paraId="7C3F4D51" w14:textId="77777777" w:rsidR="00F34246" w:rsidRPr="00061978" w:rsidRDefault="00F34246" w:rsidP="00101760">
            <w:pPr>
              <w:spacing w:line="276" w:lineRule="auto"/>
              <w:rPr>
                <w:b/>
                <w:bCs/>
                <w:szCs w:val="24"/>
              </w:rPr>
            </w:pPr>
            <w:r w:rsidRPr="00061978">
              <w:rPr>
                <w:b/>
                <w:bCs/>
                <w:szCs w:val="24"/>
              </w:rPr>
              <w:t xml:space="preserve">Recipient </w:t>
            </w:r>
          </w:p>
        </w:tc>
        <w:tc>
          <w:tcPr>
            <w:tcW w:w="4784" w:type="dxa"/>
            <w:shd w:val="clear" w:color="auto" w:fill="BFBFBF" w:themeFill="background1" w:themeFillShade="BF"/>
          </w:tcPr>
          <w:p w14:paraId="23862459" w14:textId="77777777" w:rsidR="00F34246" w:rsidRPr="00061978" w:rsidRDefault="00F34246" w:rsidP="00101760">
            <w:pPr>
              <w:spacing w:line="276" w:lineRule="auto"/>
              <w:rPr>
                <w:b/>
                <w:bCs/>
                <w:szCs w:val="24"/>
              </w:rPr>
            </w:pPr>
            <w:r w:rsidRPr="00061978">
              <w:rPr>
                <w:b/>
                <w:bCs/>
                <w:szCs w:val="24"/>
              </w:rPr>
              <w:t xml:space="preserve">Reason </w:t>
            </w:r>
          </w:p>
        </w:tc>
      </w:tr>
      <w:tr w:rsidR="00F34246" w:rsidRPr="00061978" w14:paraId="76FFF7BD" w14:textId="77777777" w:rsidTr="00440A71">
        <w:trPr>
          <w:cantSplit/>
        </w:trPr>
        <w:tc>
          <w:tcPr>
            <w:tcW w:w="1843" w:type="dxa"/>
          </w:tcPr>
          <w:p w14:paraId="1CBD3EC4" w14:textId="77777777" w:rsidR="00F34246" w:rsidRPr="00061978" w:rsidRDefault="00F34246" w:rsidP="00193CEA">
            <w:pPr>
              <w:spacing w:line="276" w:lineRule="auto"/>
              <w:jc w:val="left"/>
              <w:rPr>
                <w:bCs/>
                <w:szCs w:val="24"/>
              </w:rPr>
            </w:pPr>
            <w:r w:rsidRPr="00061978">
              <w:rPr>
                <w:bCs/>
                <w:szCs w:val="24"/>
              </w:rPr>
              <w:t xml:space="preserve">Chief Justice </w:t>
            </w:r>
          </w:p>
        </w:tc>
        <w:tc>
          <w:tcPr>
            <w:tcW w:w="2552" w:type="dxa"/>
          </w:tcPr>
          <w:p w14:paraId="231DAB90" w14:textId="77777777" w:rsidR="00F34246" w:rsidRPr="00061978" w:rsidRDefault="00F34246" w:rsidP="000404AC">
            <w:pPr>
              <w:spacing w:line="276" w:lineRule="auto"/>
              <w:jc w:val="left"/>
              <w:rPr>
                <w:szCs w:val="24"/>
                <w:lang w:eastAsia="en-AU"/>
              </w:rPr>
            </w:pPr>
            <w:r w:rsidRPr="00061978">
              <w:rPr>
                <w:szCs w:val="24"/>
                <w:lang w:eastAsia="en-AU"/>
              </w:rPr>
              <w:t>Counterpart in overseas jurisdiction</w:t>
            </w:r>
          </w:p>
          <w:p w14:paraId="444B7C4B" w14:textId="77777777" w:rsidR="00F34246" w:rsidRPr="00061978" w:rsidRDefault="00F34246" w:rsidP="000404AC">
            <w:pPr>
              <w:spacing w:line="276" w:lineRule="auto"/>
              <w:jc w:val="left"/>
              <w:rPr>
                <w:bCs/>
                <w:szCs w:val="24"/>
              </w:rPr>
            </w:pPr>
            <w:r w:rsidRPr="00061978">
              <w:rPr>
                <w:szCs w:val="24"/>
                <w:lang w:eastAsia="en-AU"/>
              </w:rPr>
              <w:t>Attorney-General</w:t>
            </w:r>
          </w:p>
        </w:tc>
        <w:tc>
          <w:tcPr>
            <w:tcW w:w="4784" w:type="dxa"/>
          </w:tcPr>
          <w:p w14:paraId="1EEC1FF1" w14:textId="77777777" w:rsidR="00F34246" w:rsidRPr="00061978" w:rsidRDefault="00F34246" w:rsidP="00193CEA">
            <w:pPr>
              <w:spacing w:line="276" w:lineRule="auto"/>
              <w:jc w:val="left"/>
              <w:rPr>
                <w:szCs w:val="24"/>
                <w:lang w:eastAsia="en-AU"/>
              </w:rPr>
            </w:pPr>
            <w:r w:rsidRPr="00061978">
              <w:rPr>
                <w:szCs w:val="24"/>
                <w:lang w:eastAsia="en-AU"/>
              </w:rPr>
              <w:t xml:space="preserve">To obtain permission for the judicial officer to examine witnesses in that </w:t>
            </w:r>
            <w:proofErr w:type="gramStart"/>
            <w:r w:rsidRPr="00061978">
              <w:rPr>
                <w:szCs w:val="24"/>
                <w:lang w:eastAsia="en-AU"/>
              </w:rPr>
              <w:t>jurisdiction</w:t>
            </w:r>
            <w:proofErr w:type="gramEnd"/>
          </w:p>
          <w:p w14:paraId="63921A18" w14:textId="77777777" w:rsidR="00F34246" w:rsidRPr="00061978" w:rsidRDefault="00F34246" w:rsidP="00193CEA">
            <w:pPr>
              <w:spacing w:line="276" w:lineRule="auto"/>
              <w:jc w:val="left"/>
              <w:rPr>
                <w:bCs/>
                <w:szCs w:val="24"/>
              </w:rPr>
            </w:pPr>
            <w:r w:rsidRPr="00061978">
              <w:rPr>
                <w:szCs w:val="24"/>
                <w:lang w:eastAsia="en-AU"/>
              </w:rPr>
              <w:t>To comply with Government policy requiring notification, at least three weeks in advance, of any proposed official overseas travel by federal judges</w:t>
            </w:r>
          </w:p>
        </w:tc>
      </w:tr>
      <w:tr w:rsidR="00F34246" w:rsidRPr="00061978" w14:paraId="7AF7A2AF" w14:textId="77777777" w:rsidTr="00440A71">
        <w:trPr>
          <w:cantSplit/>
        </w:trPr>
        <w:tc>
          <w:tcPr>
            <w:tcW w:w="1843" w:type="dxa"/>
          </w:tcPr>
          <w:p w14:paraId="54CFF283" w14:textId="77777777" w:rsidR="00F34246" w:rsidRPr="00061978" w:rsidRDefault="00F34246" w:rsidP="00193CEA">
            <w:pPr>
              <w:spacing w:line="276" w:lineRule="auto"/>
              <w:jc w:val="left"/>
              <w:rPr>
                <w:bCs/>
                <w:szCs w:val="24"/>
              </w:rPr>
            </w:pPr>
            <w:r w:rsidRPr="00061978">
              <w:rPr>
                <w:szCs w:val="24"/>
                <w:lang w:eastAsia="en-AU"/>
              </w:rPr>
              <w:t>District Registrar of relevant</w:t>
            </w:r>
            <w:r w:rsidR="00BF0E19" w:rsidRPr="00061978">
              <w:rPr>
                <w:szCs w:val="24"/>
                <w:lang w:eastAsia="en-AU"/>
              </w:rPr>
              <w:t xml:space="preserve"> </w:t>
            </w:r>
            <w:r w:rsidR="00094D41" w:rsidRPr="00061978">
              <w:rPr>
                <w:szCs w:val="24"/>
                <w:lang w:eastAsia="en-AU"/>
              </w:rPr>
              <w:t>registry</w:t>
            </w:r>
          </w:p>
        </w:tc>
        <w:tc>
          <w:tcPr>
            <w:tcW w:w="2552" w:type="dxa"/>
          </w:tcPr>
          <w:p w14:paraId="48977850" w14:textId="77777777" w:rsidR="00F34246" w:rsidRPr="00061978" w:rsidRDefault="00F34246" w:rsidP="00193CEA">
            <w:pPr>
              <w:spacing w:line="276" w:lineRule="auto"/>
              <w:jc w:val="left"/>
              <w:rPr>
                <w:bCs/>
                <w:szCs w:val="24"/>
              </w:rPr>
            </w:pPr>
            <w:r w:rsidRPr="00061978">
              <w:rPr>
                <w:szCs w:val="24"/>
                <w:lang w:eastAsia="en-AU"/>
              </w:rPr>
              <w:t>Department of Foreign Affairs and Trade</w:t>
            </w:r>
          </w:p>
        </w:tc>
        <w:tc>
          <w:tcPr>
            <w:tcW w:w="4784" w:type="dxa"/>
          </w:tcPr>
          <w:p w14:paraId="75EF5E0A" w14:textId="77777777" w:rsidR="00F34246" w:rsidRPr="00061978" w:rsidRDefault="00F34246" w:rsidP="00193CEA">
            <w:pPr>
              <w:spacing w:line="276" w:lineRule="auto"/>
              <w:jc w:val="left"/>
              <w:rPr>
                <w:bCs/>
                <w:szCs w:val="24"/>
              </w:rPr>
            </w:pPr>
            <w:r w:rsidRPr="00061978">
              <w:rPr>
                <w:szCs w:val="24"/>
                <w:lang w:eastAsia="en-AU"/>
              </w:rPr>
              <w:t>To ensure that the relevant government authorities are informed and all approvals are sought, including approval for the examiner to administer an oath or affirmation</w:t>
            </w:r>
          </w:p>
        </w:tc>
      </w:tr>
      <w:tr w:rsidR="00F34246" w:rsidRPr="00061978" w14:paraId="392B3101" w14:textId="77777777" w:rsidTr="00440A71">
        <w:trPr>
          <w:cantSplit/>
        </w:trPr>
        <w:tc>
          <w:tcPr>
            <w:tcW w:w="1843" w:type="dxa"/>
          </w:tcPr>
          <w:p w14:paraId="092919ED" w14:textId="77777777" w:rsidR="00F34246" w:rsidRPr="00061978" w:rsidRDefault="00F34246" w:rsidP="00193CEA">
            <w:pPr>
              <w:spacing w:line="276" w:lineRule="auto"/>
              <w:jc w:val="left"/>
              <w:rPr>
                <w:bCs/>
                <w:szCs w:val="24"/>
              </w:rPr>
            </w:pPr>
            <w:r w:rsidRPr="00061978">
              <w:rPr>
                <w:szCs w:val="24"/>
                <w:lang w:eastAsia="en-AU"/>
              </w:rPr>
              <w:lastRenderedPageBreak/>
              <w:t xml:space="preserve">District Registrar of relevant </w:t>
            </w:r>
            <w:r w:rsidR="00094D41" w:rsidRPr="00061978">
              <w:rPr>
                <w:szCs w:val="24"/>
                <w:lang w:eastAsia="en-AU"/>
              </w:rPr>
              <w:t>registry</w:t>
            </w:r>
          </w:p>
        </w:tc>
        <w:tc>
          <w:tcPr>
            <w:tcW w:w="2552" w:type="dxa"/>
          </w:tcPr>
          <w:p w14:paraId="08D44070" w14:textId="77777777" w:rsidR="00F34246" w:rsidRPr="00061978" w:rsidRDefault="00F34246" w:rsidP="00193CEA">
            <w:pPr>
              <w:spacing w:line="276" w:lineRule="auto"/>
              <w:jc w:val="left"/>
              <w:rPr>
                <w:bCs/>
                <w:szCs w:val="24"/>
              </w:rPr>
            </w:pPr>
            <w:r w:rsidRPr="00061978">
              <w:rPr>
                <w:szCs w:val="24"/>
                <w:lang w:eastAsia="en-AU"/>
              </w:rPr>
              <w:t>Relevant court administrator in overseas jurisdiction</w:t>
            </w:r>
          </w:p>
        </w:tc>
        <w:tc>
          <w:tcPr>
            <w:tcW w:w="4784" w:type="dxa"/>
          </w:tcPr>
          <w:p w14:paraId="51B8CA06" w14:textId="77777777" w:rsidR="00F34246" w:rsidRPr="00061978" w:rsidRDefault="00F34246" w:rsidP="00193CEA">
            <w:pPr>
              <w:spacing w:line="276" w:lineRule="auto"/>
              <w:jc w:val="left"/>
              <w:rPr>
                <w:bCs/>
                <w:szCs w:val="24"/>
              </w:rPr>
            </w:pPr>
            <w:r w:rsidRPr="00061978">
              <w:rPr>
                <w:szCs w:val="24"/>
                <w:lang w:eastAsia="en-AU"/>
              </w:rPr>
              <w:t>To obtain courtroom or chamber</w:t>
            </w:r>
            <w:r w:rsidR="00070685" w:rsidRPr="00061978">
              <w:rPr>
                <w:szCs w:val="24"/>
                <w:lang w:eastAsia="en-AU"/>
              </w:rPr>
              <w:t>s</w:t>
            </w:r>
            <w:r w:rsidRPr="00061978">
              <w:rPr>
                <w:szCs w:val="24"/>
                <w:lang w:eastAsia="en-AU"/>
              </w:rPr>
              <w:t xml:space="preserve"> accommodation, if required.</w:t>
            </w:r>
          </w:p>
        </w:tc>
      </w:tr>
    </w:tbl>
    <w:p w14:paraId="4903D19F" w14:textId="77777777" w:rsidR="005F46E5" w:rsidRPr="00061978" w:rsidRDefault="00BB28AF" w:rsidP="00E202F1">
      <w:pPr>
        <w:pStyle w:val="Heading5"/>
        <w:spacing w:before="180"/>
      </w:pPr>
      <w:r w:rsidRPr="00061978">
        <w:t>Calculation of Travel Expenses</w:t>
      </w:r>
    </w:p>
    <w:p w14:paraId="328DADEF" w14:textId="4385E732" w:rsidR="005F46E5" w:rsidRPr="00061978" w:rsidRDefault="005F46E5" w:rsidP="00101760">
      <w:pPr>
        <w:pStyle w:val="ListParagraph"/>
        <w:numPr>
          <w:ilvl w:val="1"/>
          <w:numId w:val="1"/>
        </w:numPr>
        <w:contextualSpacing w:val="0"/>
        <w:rPr>
          <w:szCs w:val="24"/>
        </w:rPr>
      </w:pPr>
      <w:r w:rsidRPr="00061978">
        <w:rPr>
          <w:szCs w:val="24"/>
        </w:rPr>
        <w:t>Travel expenses of a judge are determined according to the determination in force from time to time of the Remuneration Tribunal under the</w:t>
      </w:r>
      <w:r w:rsidR="000404AC" w:rsidRPr="00061978">
        <w:rPr>
          <w:szCs w:val="24"/>
        </w:rPr>
        <w:t xml:space="preserve"> </w:t>
      </w:r>
      <w:hyperlink r:id="rId19" w:history="1">
        <w:r w:rsidR="000404AC" w:rsidRPr="00061978">
          <w:rPr>
            <w:rStyle w:val="Hyperlink"/>
            <w:i/>
            <w:iCs/>
          </w:rPr>
          <w:t>Remuneration Tribunal Act 1973</w:t>
        </w:r>
        <w:r w:rsidR="000404AC" w:rsidRPr="00061978">
          <w:rPr>
            <w:rStyle w:val="Hyperlink"/>
          </w:rPr>
          <w:t xml:space="preserve"> (Cth)</w:t>
        </w:r>
      </w:hyperlink>
      <w:r w:rsidRPr="00061978">
        <w:rPr>
          <w:szCs w:val="24"/>
        </w:rPr>
        <w:t>.</w:t>
      </w:r>
      <w:r w:rsidR="0073791D" w:rsidRPr="00061978">
        <w:rPr>
          <w:szCs w:val="24"/>
        </w:rPr>
        <w:t xml:space="preserve"> </w:t>
      </w:r>
      <w:r w:rsidRPr="00061978">
        <w:rPr>
          <w:szCs w:val="24"/>
        </w:rPr>
        <w:t xml:space="preserve">Further information is available on the </w:t>
      </w:r>
      <w:hyperlink r:id="rId20" w:history="1">
        <w:r w:rsidRPr="00061978">
          <w:rPr>
            <w:rStyle w:val="Hyperlink"/>
            <w:szCs w:val="24"/>
          </w:rPr>
          <w:t>Remuneration Tribunal website</w:t>
        </w:r>
      </w:hyperlink>
      <w:r w:rsidRPr="00061978">
        <w:rPr>
          <w:szCs w:val="24"/>
        </w:rPr>
        <w:t>.</w:t>
      </w:r>
    </w:p>
    <w:p w14:paraId="00567641" w14:textId="5183C695" w:rsidR="005F46E5" w:rsidRPr="00061978" w:rsidRDefault="005F46E5" w:rsidP="00101760">
      <w:pPr>
        <w:pStyle w:val="ListParagraph"/>
        <w:numPr>
          <w:ilvl w:val="1"/>
          <w:numId w:val="1"/>
        </w:numPr>
        <w:contextualSpacing w:val="0"/>
        <w:rPr>
          <w:b/>
          <w:bCs/>
          <w:szCs w:val="24"/>
        </w:rPr>
      </w:pPr>
      <w:r w:rsidRPr="00061978">
        <w:rPr>
          <w:szCs w:val="24"/>
        </w:rPr>
        <w:t xml:space="preserve">Travel expenses for Court staff are determined by the </w:t>
      </w:r>
      <w:r w:rsidR="00793818" w:rsidRPr="00061978">
        <w:rPr>
          <w:szCs w:val="24"/>
        </w:rPr>
        <w:t xml:space="preserve">Chief Executive Officer and Principal </w:t>
      </w:r>
      <w:r w:rsidRPr="00061978">
        <w:rPr>
          <w:szCs w:val="24"/>
        </w:rPr>
        <w:t>Registrar of the Court or delegate.</w:t>
      </w:r>
      <w:r w:rsidR="0073791D" w:rsidRPr="00061978">
        <w:rPr>
          <w:szCs w:val="24"/>
        </w:rPr>
        <w:t xml:space="preserve"> </w:t>
      </w:r>
      <w:r w:rsidRPr="00061978">
        <w:rPr>
          <w:szCs w:val="24"/>
        </w:rPr>
        <w:t xml:space="preserve">This normally includes accommodation at a standard reasonably equivalent to that provided to </w:t>
      </w:r>
      <w:r w:rsidR="00070685" w:rsidRPr="00061978">
        <w:rPr>
          <w:szCs w:val="24"/>
        </w:rPr>
        <w:t>C</w:t>
      </w:r>
      <w:r w:rsidRPr="00061978">
        <w:rPr>
          <w:szCs w:val="24"/>
        </w:rPr>
        <w:t>ourt staff in Australia</w:t>
      </w:r>
      <w:r w:rsidR="008520B7" w:rsidRPr="00061978">
        <w:rPr>
          <w:szCs w:val="24"/>
        </w:rPr>
        <w:t>,</w:t>
      </w:r>
      <w:r w:rsidRPr="00061978">
        <w:rPr>
          <w:szCs w:val="24"/>
        </w:rPr>
        <w:t xml:space="preserve"> and meal and incidental allowances at the rates determined annually by the </w:t>
      </w:r>
      <w:hyperlink r:id="rId21" w:history="1">
        <w:r w:rsidRPr="00061978">
          <w:rPr>
            <w:rStyle w:val="Hyperlink"/>
            <w:szCs w:val="24"/>
          </w:rPr>
          <w:t>Australian Taxation Office</w:t>
        </w:r>
      </w:hyperlink>
      <w:r w:rsidRPr="00061978">
        <w:rPr>
          <w:szCs w:val="24"/>
        </w:rPr>
        <w:t xml:space="preserve"> in its taxation ruling dealing with reasonable travelling allowance amounts.</w:t>
      </w:r>
      <w:r w:rsidR="0073791D" w:rsidRPr="00061978">
        <w:rPr>
          <w:szCs w:val="24"/>
        </w:rPr>
        <w:t xml:space="preserve"> </w:t>
      </w:r>
      <w:r w:rsidRPr="00061978">
        <w:rPr>
          <w:szCs w:val="24"/>
        </w:rPr>
        <w:t xml:space="preserve">Further information is available from the District Registrar of the relevant </w:t>
      </w:r>
      <w:hyperlink r:id="rId22" w:history="1">
        <w:r w:rsidR="00094D41" w:rsidRPr="00061978">
          <w:rPr>
            <w:rStyle w:val="Hyperlink"/>
            <w:szCs w:val="24"/>
          </w:rPr>
          <w:t>registry</w:t>
        </w:r>
      </w:hyperlink>
      <w:r w:rsidRPr="00061978">
        <w:rPr>
          <w:szCs w:val="24"/>
        </w:rPr>
        <w:t>.</w:t>
      </w:r>
    </w:p>
    <w:p w14:paraId="10035995" w14:textId="77777777" w:rsidR="005F46E5" w:rsidRPr="00061978" w:rsidRDefault="00BB28AF" w:rsidP="00FF235E">
      <w:pPr>
        <w:pStyle w:val="Heading5"/>
      </w:pPr>
      <w:r w:rsidRPr="00061978">
        <w:t>Travel Proposal and Projection of Costs</w:t>
      </w:r>
    </w:p>
    <w:p w14:paraId="6B9064EC" w14:textId="77777777" w:rsidR="005F46E5" w:rsidRPr="00061978" w:rsidRDefault="005F46E5" w:rsidP="00101760">
      <w:pPr>
        <w:pStyle w:val="ListParagraph"/>
        <w:numPr>
          <w:ilvl w:val="1"/>
          <w:numId w:val="1"/>
        </w:numPr>
        <w:contextualSpacing w:val="0"/>
        <w:rPr>
          <w:b/>
          <w:bCs/>
          <w:szCs w:val="24"/>
        </w:rPr>
      </w:pPr>
      <w:r w:rsidRPr="00061978">
        <w:rPr>
          <w:szCs w:val="24"/>
        </w:rPr>
        <w:t xml:space="preserve">As soon as possible after any order is made </w:t>
      </w:r>
      <w:r w:rsidR="005D0A63" w:rsidRPr="00061978">
        <w:rPr>
          <w:szCs w:val="24"/>
        </w:rPr>
        <w:t xml:space="preserve">for the </w:t>
      </w:r>
      <w:r w:rsidRPr="00061978">
        <w:rPr>
          <w:szCs w:val="24"/>
        </w:rPr>
        <w:t>tak</w:t>
      </w:r>
      <w:r w:rsidR="005D0A63" w:rsidRPr="00061978">
        <w:rPr>
          <w:szCs w:val="24"/>
        </w:rPr>
        <w:t>ing of</w:t>
      </w:r>
      <w:r w:rsidRPr="00061978">
        <w:rPr>
          <w:szCs w:val="24"/>
        </w:rPr>
        <w:t xml:space="preserve"> evidence out</w:t>
      </w:r>
      <w:r w:rsidR="005D0A63" w:rsidRPr="00061978">
        <w:rPr>
          <w:szCs w:val="24"/>
        </w:rPr>
        <w:t>side</w:t>
      </w:r>
      <w:r w:rsidRPr="00061978">
        <w:rPr>
          <w:szCs w:val="24"/>
        </w:rPr>
        <w:t xml:space="preserve"> </w:t>
      </w:r>
      <w:r w:rsidR="008520B7" w:rsidRPr="00061978">
        <w:rPr>
          <w:szCs w:val="24"/>
        </w:rPr>
        <w:t xml:space="preserve">of </w:t>
      </w:r>
      <w:r w:rsidRPr="00061978">
        <w:rPr>
          <w:szCs w:val="24"/>
        </w:rPr>
        <w:t xml:space="preserve">Australia, the parties should prepare and lodge with the District Registrar of the relevant </w:t>
      </w:r>
      <w:r w:rsidR="00094D41" w:rsidRPr="00061978">
        <w:rPr>
          <w:szCs w:val="24"/>
        </w:rPr>
        <w:t xml:space="preserve">registry </w:t>
      </w:r>
      <w:r w:rsidRPr="00061978">
        <w:rPr>
          <w:szCs w:val="24"/>
        </w:rPr>
        <w:t xml:space="preserve">a travel proposal for the </w:t>
      </w:r>
      <w:r w:rsidR="00436CBD" w:rsidRPr="00061978">
        <w:rPr>
          <w:szCs w:val="24"/>
        </w:rPr>
        <w:t xml:space="preserve">Judge </w:t>
      </w:r>
      <w:r w:rsidR="005D0A63" w:rsidRPr="00061978">
        <w:rPr>
          <w:szCs w:val="24"/>
        </w:rPr>
        <w:t xml:space="preserve">and any Court </w:t>
      </w:r>
      <w:r w:rsidRPr="00061978">
        <w:rPr>
          <w:szCs w:val="24"/>
        </w:rPr>
        <w:t>staff</w:t>
      </w:r>
      <w:r w:rsidR="005D0A63" w:rsidRPr="00061978">
        <w:rPr>
          <w:szCs w:val="24"/>
        </w:rPr>
        <w:t xml:space="preserve">, together with </w:t>
      </w:r>
      <w:r w:rsidRPr="00061978">
        <w:rPr>
          <w:szCs w:val="24"/>
        </w:rPr>
        <w:t>a projection of costs including:</w:t>
      </w:r>
    </w:p>
    <w:p w14:paraId="1D7C97FF" w14:textId="77777777" w:rsidR="005F46E5" w:rsidRPr="00061978" w:rsidRDefault="005F46E5" w:rsidP="00793818">
      <w:pPr>
        <w:pStyle w:val="ListParagraph"/>
        <w:numPr>
          <w:ilvl w:val="2"/>
          <w:numId w:val="1"/>
        </w:numPr>
        <w:contextualSpacing w:val="0"/>
        <w:rPr>
          <w:b/>
          <w:bCs/>
          <w:szCs w:val="24"/>
        </w:rPr>
      </w:pPr>
      <w:r w:rsidRPr="00061978">
        <w:rPr>
          <w:szCs w:val="24"/>
        </w:rPr>
        <w:t xml:space="preserve">proposed dates, route, flights, class, carrier and ticketing (fully flexible return tickets must be provided) for </w:t>
      </w:r>
      <w:proofErr w:type="gramStart"/>
      <w:r w:rsidRPr="00061978">
        <w:rPr>
          <w:szCs w:val="24"/>
        </w:rPr>
        <w:t>travel;</w:t>
      </w:r>
      <w:proofErr w:type="gramEnd"/>
    </w:p>
    <w:p w14:paraId="4FDFCAA8" w14:textId="77777777" w:rsidR="005F46E5" w:rsidRPr="00061978" w:rsidRDefault="005F46E5" w:rsidP="00793818">
      <w:pPr>
        <w:pStyle w:val="ListParagraph"/>
        <w:numPr>
          <w:ilvl w:val="2"/>
          <w:numId w:val="1"/>
        </w:numPr>
        <w:contextualSpacing w:val="0"/>
        <w:rPr>
          <w:b/>
          <w:bCs/>
          <w:szCs w:val="24"/>
        </w:rPr>
      </w:pPr>
      <w:r w:rsidRPr="00061978">
        <w:rPr>
          <w:szCs w:val="24"/>
        </w:rPr>
        <w:t xml:space="preserve">proposed arrangements for ground </w:t>
      </w:r>
      <w:proofErr w:type="gramStart"/>
      <w:r w:rsidRPr="00061978">
        <w:rPr>
          <w:szCs w:val="24"/>
        </w:rPr>
        <w:t>travel;</w:t>
      </w:r>
      <w:proofErr w:type="gramEnd"/>
    </w:p>
    <w:p w14:paraId="576E71A3" w14:textId="77777777" w:rsidR="005F46E5" w:rsidRPr="00061978" w:rsidRDefault="005F46E5" w:rsidP="00793818">
      <w:pPr>
        <w:pStyle w:val="ListParagraph"/>
        <w:numPr>
          <w:ilvl w:val="2"/>
          <w:numId w:val="1"/>
        </w:numPr>
        <w:contextualSpacing w:val="0"/>
        <w:rPr>
          <w:b/>
          <w:bCs/>
          <w:szCs w:val="24"/>
        </w:rPr>
      </w:pPr>
      <w:r w:rsidRPr="00061978">
        <w:rPr>
          <w:szCs w:val="24"/>
        </w:rPr>
        <w:t xml:space="preserve">three options (if possible) for hotel </w:t>
      </w:r>
      <w:proofErr w:type="gramStart"/>
      <w:r w:rsidRPr="00061978">
        <w:rPr>
          <w:szCs w:val="24"/>
        </w:rPr>
        <w:t>accommodation;</w:t>
      </w:r>
      <w:proofErr w:type="gramEnd"/>
    </w:p>
    <w:p w14:paraId="430A558D" w14:textId="77777777" w:rsidR="005F46E5" w:rsidRPr="00061978" w:rsidRDefault="005F46E5" w:rsidP="00793818">
      <w:pPr>
        <w:pStyle w:val="ListParagraph"/>
        <w:numPr>
          <w:ilvl w:val="2"/>
          <w:numId w:val="1"/>
        </w:numPr>
        <w:contextualSpacing w:val="0"/>
        <w:rPr>
          <w:b/>
          <w:bCs/>
          <w:szCs w:val="24"/>
        </w:rPr>
      </w:pPr>
      <w:r w:rsidRPr="00061978">
        <w:rPr>
          <w:szCs w:val="24"/>
        </w:rPr>
        <w:t>daily allowance for meals and incidentals; and</w:t>
      </w:r>
    </w:p>
    <w:p w14:paraId="7E80EC2B" w14:textId="77777777" w:rsidR="005F46E5" w:rsidRPr="00061978" w:rsidRDefault="005F46E5" w:rsidP="00793818">
      <w:pPr>
        <w:pStyle w:val="ListParagraph"/>
        <w:numPr>
          <w:ilvl w:val="2"/>
          <w:numId w:val="1"/>
        </w:numPr>
        <w:contextualSpacing w:val="0"/>
        <w:rPr>
          <w:b/>
          <w:bCs/>
          <w:szCs w:val="24"/>
        </w:rPr>
      </w:pPr>
      <w:r w:rsidRPr="00061978">
        <w:rPr>
          <w:szCs w:val="24"/>
        </w:rPr>
        <w:t>any other anticipated expenses.</w:t>
      </w:r>
    </w:p>
    <w:p w14:paraId="32F127AE" w14:textId="557738F3" w:rsidR="005F46E5" w:rsidRPr="00061978" w:rsidRDefault="005F46E5" w:rsidP="00101760">
      <w:pPr>
        <w:pStyle w:val="ListParagraph"/>
        <w:numPr>
          <w:ilvl w:val="1"/>
          <w:numId w:val="1"/>
        </w:numPr>
        <w:contextualSpacing w:val="0"/>
        <w:rPr>
          <w:b/>
          <w:bCs/>
          <w:szCs w:val="24"/>
        </w:rPr>
      </w:pPr>
      <w:r w:rsidRPr="00061978">
        <w:rPr>
          <w:szCs w:val="24"/>
        </w:rPr>
        <w:t xml:space="preserve">The parties will also provide to the District Registrar details of what </w:t>
      </w:r>
      <w:r w:rsidR="005D0A63" w:rsidRPr="00061978">
        <w:rPr>
          <w:szCs w:val="24"/>
        </w:rPr>
        <w:t xml:space="preserve">arrangements are </w:t>
      </w:r>
      <w:r w:rsidRPr="00061978">
        <w:rPr>
          <w:szCs w:val="24"/>
        </w:rPr>
        <w:t>proposed for the conduct of each examination and for transcript</w:t>
      </w:r>
      <w:r w:rsidR="005D0A63" w:rsidRPr="00061978">
        <w:rPr>
          <w:szCs w:val="24"/>
        </w:rPr>
        <w:t>ion</w:t>
      </w:r>
      <w:r w:rsidRPr="00061978">
        <w:rPr>
          <w:szCs w:val="24"/>
        </w:rPr>
        <w:t>.</w:t>
      </w:r>
    </w:p>
    <w:p w14:paraId="688C1400" w14:textId="77777777" w:rsidR="005F46E5" w:rsidRPr="00061978" w:rsidRDefault="00BB28AF" w:rsidP="00FF235E">
      <w:pPr>
        <w:pStyle w:val="Heading5"/>
      </w:pPr>
      <w:r w:rsidRPr="00061978">
        <w:t>Payment into Court</w:t>
      </w:r>
    </w:p>
    <w:p w14:paraId="60E84360" w14:textId="34BE9A15" w:rsidR="005F46E5" w:rsidRPr="00061978" w:rsidRDefault="005F46E5" w:rsidP="00101760">
      <w:pPr>
        <w:pStyle w:val="ListParagraph"/>
        <w:numPr>
          <w:ilvl w:val="1"/>
          <w:numId w:val="1"/>
        </w:numPr>
        <w:contextualSpacing w:val="0"/>
        <w:rPr>
          <w:b/>
          <w:bCs/>
          <w:szCs w:val="24"/>
        </w:rPr>
      </w:pPr>
      <w:r w:rsidRPr="00061978">
        <w:rPr>
          <w:szCs w:val="24"/>
        </w:rPr>
        <w:t>On receiving the</w:t>
      </w:r>
      <w:r w:rsidR="005D0A63" w:rsidRPr="00061978">
        <w:rPr>
          <w:szCs w:val="24"/>
        </w:rPr>
        <w:t xml:space="preserve"> travel</w:t>
      </w:r>
      <w:r w:rsidRPr="00061978">
        <w:rPr>
          <w:szCs w:val="24"/>
        </w:rPr>
        <w:t xml:space="preserve"> proposal and the projection of cost</w:t>
      </w:r>
      <w:r w:rsidR="005D0A63" w:rsidRPr="00061978">
        <w:rPr>
          <w:szCs w:val="24"/>
        </w:rPr>
        <w:t>s</w:t>
      </w:r>
      <w:r w:rsidRPr="00061978">
        <w:rPr>
          <w:szCs w:val="24"/>
        </w:rPr>
        <w:t xml:space="preserve">, the District Registrar will liaise with the </w:t>
      </w:r>
      <w:r w:rsidR="00E202F1" w:rsidRPr="00061978">
        <w:rPr>
          <w:szCs w:val="24"/>
        </w:rPr>
        <w:t xml:space="preserve">Judge </w:t>
      </w:r>
      <w:r w:rsidRPr="00061978">
        <w:rPr>
          <w:szCs w:val="24"/>
        </w:rPr>
        <w:t>to identify whether the proposal is satisfactory and consider whether the cost projection made is sufficient to provide for the likely expenses of the examination.</w:t>
      </w:r>
      <w:r w:rsidR="0073791D" w:rsidRPr="00061978">
        <w:rPr>
          <w:szCs w:val="24"/>
        </w:rPr>
        <w:t xml:space="preserve"> </w:t>
      </w:r>
      <w:r w:rsidRPr="00061978">
        <w:rPr>
          <w:szCs w:val="24"/>
        </w:rPr>
        <w:t>The District Registrar will, if necessary, liaise with the parties about any possible modifications.</w:t>
      </w:r>
      <w:r w:rsidR="0073791D" w:rsidRPr="00061978">
        <w:rPr>
          <w:szCs w:val="24"/>
        </w:rPr>
        <w:t xml:space="preserve"> </w:t>
      </w:r>
      <w:r w:rsidRPr="00061978">
        <w:rPr>
          <w:szCs w:val="24"/>
        </w:rPr>
        <w:t>If required</w:t>
      </w:r>
      <w:r w:rsidR="008520B7" w:rsidRPr="00061978">
        <w:rPr>
          <w:szCs w:val="24"/>
        </w:rPr>
        <w:t>,</w:t>
      </w:r>
      <w:r w:rsidRPr="00061978">
        <w:rPr>
          <w:szCs w:val="24"/>
        </w:rPr>
        <w:t xml:space="preserve"> the District Regist</w:t>
      </w:r>
      <w:r w:rsidR="001D690E" w:rsidRPr="00061978">
        <w:rPr>
          <w:szCs w:val="24"/>
        </w:rPr>
        <w:t xml:space="preserve">rar may seek directions from a </w:t>
      </w:r>
      <w:r w:rsidR="00094D41" w:rsidRPr="00061978">
        <w:rPr>
          <w:szCs w:val="24"/>
        </w:rPr>
        <w:t>judge</w:t>
      </w:r>
      <w:r w:rsidRPr="00061978">
        <w:rPr>
          <w:szCs w:val="24"/>
        </w:rPr>
        <w:t>.</w:t>
      </w:r>
      <w:r w:rsidR="0073791D" w:rsidRPr="00061978">
        <w:rPr>
          <w:szCs w:val="24"/>
        </w:rPr>
        <w:t xml:space="preserve"> </w:t>
      </w:r>
      <w:r w:rsidRPr="00061978">
        <w:rPr>
          <w:szCs w:val="24"/>
        </w:rPr>
        <w:t>Once the amount for the provision for the Court’s expenses of the examination is determined</w:t>
      </w:r>
      <w:r w:rsidR="008520B7" w:rsidRPr="00061978">
        <w:rPr>
          <w:szCs w:val="24"/>
        </w:rPr>
        <w:t>,</w:t>
      </w:r>
      <w:r w:rsidRPr="00061978">
        <w:rPr>
          <w:szCs w:val="24"/>
        </w:rPr>
        <w:t xml:space="preserve"> and before the commencement of the examination, the parties will pay that amount in equal shares into Court.</w:t>
      </w:r>
    </w:p>
    <w:p w14:paraId="496DB1FC" w14:textId="77777777" w:rsidR="005F46E5" w:rsidRPr="00061978" w:rsidRDefault="00BB28AF" w:rsidP="00FF235E">
      <w:pPr>
        <w:pStyle w:val="Heading5"/>
      </w:pPr>
      <w:r w:rsidRPr="00061978">
        <w:lastRenderedPageBreak/>
        <w:t>Reconciling Expenses</w:t>
      </w:r>
    </w:p>
    <w:p w14:paraId="1051F0E8" w14:textId="51F36B54" w:rsidR="00F40010" w:rsidRPr="00061978" w:rsidRDefault="005F46E5" w:rsidP="00101760">
      <w:pPr>
        <w:pStyle w:val="ListParagraph"/>
        <w:numPr>
          <w:ilvl w:val="1"/>
          <w:numId w:val="1"/>
        </w:numPr>
        <w:contextualSpacing w:val="0"/>
        <w:rPr>
          <w:b/>
          <w:bCs/>
          <w:szCs w:val="24"/>
        </w:rPr>
      </w:pPr>
      <w:r w:rsidRPr="00061978">
        <w:rPr>
          <w:szCs w:val="24"/>
        </w:rPr>
        <w:t>As soon as possible after the examination, the District Registrar will reconcile and account to the parties for the costs actually incurred by the Court of and incidental to the examination.</w:t>
      </w:r>
      <w:r w:rsidR="0073791D" w:rsidRPr="00061978">
        <w:rPr>
          <w:szCs w:val="24"/>
        </w:rPr>
        <w:t xml:space="preserve"> </w:t>
      </w:r>
      <w:r w:rsidRPr="00061978">
        <w:rPr>
          <w:szCs w:val="24"/>
        </w:rPr>
        <w:t>If the amount paid as a provision for those expenses exceeds those costs, the excess will be refunded to the parties in equal shares.</w:t>
      </w:r>
      <w:r w:rsidR="0073791D" w:rsidRPr="00061978">
        <w:rPr>
          <w:szCs w:val="24"/>
        </w:rPr>
        <w:t xml:space="preserve"> </w:t>
      </w:r>
      <w:r w:rsidRPr="00061978">
        <w:rPr>
          <w:szCs w:val="24"/>
        </w:rPr>
        <w:t xml:space="preserve">If there is a shortfall in the amount paid as a provision for those expenses against those costs, the parties will pay the amount of the shortfall into Court in equal shares within </w:t>
      </w:r>
      <w:r w:rsidR="008520B7" w:rsidRPr="00061978">
        <w:rPr>
          <w:szCs w:val="24"/>
        </w:rPr>
        <w:t>seven (</w:t>
      </w:r>
      <w:r w:rsidRPr="00061978">
        <w:rPr>
          <w:szCs w:val="24"/>
        </w:rPr>
        <w:t>7</w:t>
      </w:r>
      <w:r w:rsidR="008520B7" w:rsidRPr="00061978">
        <w:rPr>
          <w:szCs w:val="24"/>
        </w:rPr>
        <w:t>)</w:t>
      </w:r>
      <w:r w:rsidRPr="00061978">
        <w:rPr>
          <w:szCs w:val="24"/>
        </w:rPr>
        <w:t xml:space="preserve"> days of receiving written notification.</w:t>
      </w:r>
    </w:p>
    <w:p w14:paraId="3293BE63" w14:textId="194C7E3C" w:rsidR="00147278" w:rsidRPr="00061978" w:rsidRDefault="00BB28AF" w:rsidP="00E202F1">
      <w:pPr>
        <w:pStyle w:val="Heading5"/>
        <w:keepLines/>
      </w:pPr>
      <w:r w:rsidRPr="00061978">
        <w:t xml:space="preserve">Evidence from </w:t>
      </w:r>
      <w:r w:rsidR="00793818" w:rsidRPr="00061978">
        <w:t xml:space="preserve">Overseas </w:t>
      </w:r>
      <w:r w:rsidRPr="00061978">
        <w:t xml:space="preserve">by </w:t>
      </w:r>
      <w:r w:rsidR="00793818" w:rsidRPr="00061978">
        <w:t>Video Link</w:t>
      </w:r>
      <w:r w:rsidR="0073791D" w:rsidRPr="00061978">
        <w:t xml:space="preserve"> </w:t>
      </w:r>
    </w:p>
    <w:p w14:paraId="68FBA817" w14:textId="77777777" w:rsidR="00147278" w:rsidRPr="00061978" w:rsidRDefault="001965E0" w:rsidP="00E202F1">
      <w:pPr>
        <w:pStyle w:val="ListParagraph"/>
        <w:keepNext/>
        <w:keepLines/>
        <w:numPr>
          <w:ilvl w:val="1"/>
          <w:numId w:val="1"/>
        </w:numPr>
        <w:contextualSpacing w:val="0"/>
        <w:rPr>
          <w:b/>
          <w:bCs/>
          <w:szCs w:val="24"/>
        </w:rPr>
      </w:pPr>
      <w:r w:rsidRPr="00061978">
        <w:rPr>
          <w:szCs w:val="24"/>
        </w:rPr>
        <w:t xml:space="preserve">Refer to </w:t>
      </w:r>
      <w:r w:rsidR="00B12C88" w:rsidRPr="00061978">
        <w:rPr>
          <w:szCs w:val="24"/>
        </w:rPr>
        <w:t xml:space="preserve">the </w:t>
      </w:r>
      <w:hyperlink r:id="rId23" w:history="1">
        <w:r w:rsidR="00B12C88" w:rsidRPr="00061978">
          <w:rPr>
            <w:rStyle w:val="Hyperlink"/>
            <w:szCs w:val="24"/>
          </w:rPr>
          <w:t>Technolo</w:t>
        </w:r>
        <w:r w:rsidR="00094D41" w:rsidRPr="00061978">
          <w:rPr>
            <w:rStyle w:val="Hyperlink"/>
            <w:szCs w:val="24"/>
          </w:rPr>
          <w:t>gy and the Court Practice Note (</w:t>
        </w:r>
        <w:r w:rsidR="00B12C88" w:rsidRPr="00061978">
          <w:rPr>
            <w:rStyle w:val="Hyperlink"/>
            <w:szCs w:val="24"/>
          </w:rPr>
          <w:t>GPN-TECH</w:t>
        </w:r>
        <w:r w:rsidR="00094D41" w:rsidRPr="00061978">
          <w:rPr>
            <w:rStyle w:val="Hyperlink"/>
            <w:szCs w:val="24"/>
          </w:rPr>
          <w:t>)</w:t>
        </w:r>
      </w:hyperlink>
      <w:r w:rsidRPr="00061978">
        <w:rPr>
          <w:szCs w:val="24"/>
        </w:rPr>
        <w:t xml:space="preserve"> </w:t>
      </w:r>
      <w:r w:rsidR="00B12C88" w:rsidRPr="00061978">
        <w:rPr>
          <w:szCs w:val="24"/>
        </w:rPr>
        <w:t>and the Court’s website</w:t>
      </w:r>
      <w:r w:rsidR="00094D41" w:rsidRPr="00061978">
        <w:rPr>
          <w:szCs w:val="24"/>
        </w:rPr>
        <w:t xml:space="preserve"> </w:t>
      </w:r>
      <w:r w:rsidRPr="00061978">
        <w:rPr>
          <w:szCs w:val="24"/>
        </w:rPr>
        <w:t xml:space="preserve">for </w:t>
      </w:r>
      <w:r w:rsidR="00B12C88" w:rsidRPr="00061978">
        <w:rPr>
          <w:szCs w:val="24"/>
        </w:rPr>
        <w:t xml:space="preserve">further </w:t>
      </w:r>
      <w:r w:rsidR="00581E22" w:rsidRPr="00061978">
        <w:rPr>
          <w:szCs w:val="24"/>
        </w:rPr>
        <w:t>informat</w:t>
      </w:r>
      <w:r w:rsidR="007B6365" w:rsidRPr="00061978">
        <w:rPr>
          <w:szCs w:val="24"/>
        </w:rPr>
        <w:t>ion on arrangements for the us</w:t>
      </w:r>
      <w:r w:rsidR="00094D41" w:rsidRPr="00061978">
        <w:rPr>
          <w:szCs w:val="24"/>
        </w:rPr>
        <w:t xml:space="preserve">e of a </w:t>
      </w:r>
      <w:hyperlink r:id="rId24" w:history="1">
        <w:r w:rsidR="00094D41" w:rsidRPr="00061978">
          <w:rPr>
            <w:rStyle w:val="Hyperlink"/>
            <w:szCs w:val="24"/>
          </w:rPr>
          <w:t>video link in a hearing</w:t>
        </w:r>
      </w:hyperlink>
      <w:r w:rsidR="00094D41" w:rsidRPr="00061978">
        <w:rPr>
          <w:szCs w:val="24"/>
        </w:rPr>
        <w:t>.</w:t>
      </w:r>
    </w:p>
    <w:p w14:paraId="196C692D" w14:textId="77777777" w:rsidR="00440A71" w:rsidRDefault="00440A71" w:rsidP="00E202F1">
      <w:pPr>
        <w:pStyle w:val="textblackbold"/>
        <w:keepNext/>
        <w:keepLines/>
        <w:spacing w:before="0" w:beforeAutospacing="0" w:after="0" w:afterAutospacing="0" w:line="240" w:lineRule="auto"/>
        <w:jc w:val="right"/>
        <w:rPr>
          <w:rFonts w:asciiTheme="minorHAnsi" w:hAnsiTheme="minorHAnsi" w:cs="Times New Roman"/>
          <w:b w:val="0"/>
          <w:bCs w:val="0"/>
          <w:color w:val="auto"/>
          <w:sz w:val="24"/>
          <w:szCs w:val="24"/>
        </w:rPr>
      </w:pPr>
    </w:p>
    <w:p w14:paraId="6F0BAF9F" w14:textId="77777777" w:rsidR="00BE3A2D" w:rsidRDefault="00BE3A2D" w:rsidP="00E202F1">
      <w:pPr>
        <w:pStyle w:val="textblackbold"/>
        <w:keepNext/>
        <w:keepLines/>
        <w:spacing w:before="0" w:beforeAutospacing="0" w:after="0" w:afterAutospacing="0" w:line="240" w:lineRule="auto"/>
        <w:jc w:val="right"/>
        <w:rPr>
          <w:rFonts w:asciiTheme="minorHAnsi" w:hAnsiTheme="minorHAnsi" w:cs="Times New Roman"/>
          <w:b w:val="0"/>
          <w:bCs w:val="0"/>
          <w:color w:val="auto"/>
          <w:sz w:val="24"/>
          <w:szCs w:val="24"/>
        </w:rPr>
      </w:pPr>
    </w:p>
    <w:p w14:paraId="2E5D6385" w14:textId="77777777" w:rsidR="00BE3A2D" w:rsidRPr="00610374" w:rsidRDefault="00BE3A2D" w:rsidP="00E202F1">
      <w:pPr>
        <w:pStyle w:val="textblackbold"/>
        <w:keepNext/>
        <w:keepLines/>
        <w:spacing w:before="0" w:beforeAutospacing="0" w:after="0" w:afterAutospacing="0" w:line="240" w:lineRule="auto"/>
        <w:jc w:val="right"/>
        <w:rPr>
          <w:rFonts w:asciiTheme="minorHAnsi" w:hAnsiTheme="minorHAnsi" w:cs="Times New Roman"/>
          <w:b w:val="0"/>
          <w:bCs w:val="0"/>
          <w:color w:val="auto"/>
          <w:sz w:val="24"/>
          <w:szCs w:val="24"/>
        </w:rPr>
      </w:pPr>
    </w:p>
    <w:p w14:paraId="4FBFA96D" w14:textId="2180B000" w:rsidR="00440A71" w:rsidRPr="00610374" w:rsidRDefault="00E64F0E" w:rsidP="00E202F1">
      <w:pPr>
        <w:pStyle w:val="textblackbold"/>
        <w:keepNext/>
        <w:keepLines/>
        <w:spacing w:before="0" w:beforeAutospacing="0" w:after="0" w:afterAutospacing="0" w:line="240" w:lineRule="auto"/>
        <w:jc w:val="right"/>
        <w:rPr>
          <w:rFonts w:asciiTheme="minorHAnsi" w:hAnsiTheme="minorHAnsi" w:cs="Times New Roman"/>
          <w:b w:val="0"/>
          <w:bCs w:val="0"/>
          <w:color w:val="auto"/>
          <w:sz w:val="24"/>
          <w:szCs w:val="24"/>
        </w:rPr>
      </w:pPr>
      <w:r>
        <w:rPr>
          <w:rFonts w:asciiTheme="minorHAnsi" w:hAnsiTheme="minorHAnsi" w:cs="Times New Roman"/>
          <w:b w:val="0"/>
          <w:bCs w:val="0"/>
          <w:color w:val="auto"/>
          <w:sz w:val="24"/>
          <w:szCs w:val="24"/>
        </w:rPr>
        <w:t>D</w:t>
      </w:r>
      <w:r w:rsidR="00412D0F">
        <w:rPr>
          <w:rFonts w:asciiTheme="minorHAnsi" w:hAnsiTheme="minorHAnsi" w:cs="Times New Roman"/>
          <w:b w:val="0"/>
          <w:bCs w:val="0"/>
          <w:color w:val="auto"/>
          <w:sz w:val="24"/>
          <w:szCs w:val="24"/>
        </w:rPr>
        <w:t xml:space="preserve">. </w:t>
      </w:r>
      <w:r>
        <w:rPr>
          <w:rFonts w:asciiTheme="minorHAnsi" w:hAnsiTheme="minorHAnsi" w:cs="Times New Roman"/>
          <w:b w:val="0"/>
          <w:bCs w:val="0"/>
          <w:color w:val="auto"/>
          <w:sz w:val="24"/>
          <w:szCs w:val="24"/>
        </w:rPr>
        <w:t>S Mortimer</w:t>
      </w:r>
      <w:r w:rsidR="008466F8" w:rsidRPr="00610374">
        <w:rPr>
          <w:rFonts w:asciiTheme="minorHAnsi" w:hAnsiTheme="minorHAnsi" w:cs="Times New Roman"/>
          <w:b w:val="0"/>
          <w:bCs w:val="0"/>
          <w:color w:val="auto"/>
          <w:sz w:val="24"/>
          <w:szCs w:val="24"/>
        </w:rPr>
        <w:br/>
      </w:r>
      <w:r w:rsidR="00FF0537" w:rsidRPr="00610374">
        <w:rPr>
          <w:rFonts w:asciiTheme="minorHAnsi" w:hAnsiTheme="minorHAnsi" w:cs="Times New Roman"/>
          <w:b w:val="0"/>
          <w:bCs w:val="0"/>
          <w:color w:val="auto"/>
          <w:sz w:val="24"/>
          <w:szCs w:val="24"/>
        </w:rPr>
        <w:t>Chief Justice</w:t>
      </w:r>
    </w:p>
    <w:p w14:paraId="06D398B6" w14:textId="6C0D9721" w:rsidR="0098270B" w:rsidRPr="00101760" w:rsidRDefault="00412D0F" w:rsidP="00440A71">
      <w:pPr>
        <w:pStyle w:val="textblackbold"/>
        <w:spacing w:before="0" w:beforeAutospacing="0" w:after="0" w:afterAutospacing="0" w:line="240" w:lineRule="auto"/>
        <w:jc w:val="right"/>
        <w:rPr>
          <w:rFonts w:asciiTheme="minorHAnsi" w:hAnsiTheme="minorHAnsi" w:cs="Times New Roman"/>
          <w:bCs w:val="0"/>
          <w:color w:val="auto"/>
          <w:sz w:val="24"/>
          <w:szCs w:val="24"/>
        </w:rPr>
      </w:pPr>
      <w:r>
        <w:rPr>
          <w:rFonts w:asciiTheme="minorHAnsi" w:hAnsiTheme="minorHAnsi" w:cs="Times New Roman"/>
          <w:b w:val="0"/>
          <w:bCs w:val="0"/>
          <w:color w:val="auto"/>
          <w:sz w:val="24"/>
          <w:szCs w:val="24"/>
        </w:rPr>
        <w:t>12 August</w:t>
      </w:r>
      <w:r w:rsidR="00D9387E">
        <w:rPr>
          <w:rFonts w:asciiTheme="minorHAnsi" w:hAnsiTheme="minorHAnsi" w:cs="Times New Roman"/>
          <w:b w:val="0"/>
          <w:bCs w:val="0"/>
          <w:color w:val="auto"/>
          <w:sz w:val="24"/>
          <w:szCs w:val="24"/>
        </w:rPr>
        <w:t xml:space="preserve"> </w:t>
      </w:r>
      <w:r w:rsidR="00E64F0E">
        <w:rPr>
          <w:rFonts w:asciiTheme="minorHAnsi" w:hAnsiTheme="minorHAnsi" w:cs="Times New Roman"/>
          <w:b w:val="0"/>
          <w:bCs w:val="0"/>
          <w:color w:val="auto"/>
          <w:sz w:val="24"/>
          <w:szCs w:val="24"/>
        </w:rPr>
        <w:t xml:space="preserve">2024 </w:t>
      </w:r>
    </w:p>
    <w:sectPr w:rsidR="0098270B" w:rsidRPr="00101760" w:rsidSect="00101760">
      <w:footerReference w:type="default" r:id="rId25"/>
      <w:headerReference w:type="first" r:id="rId26"/>
      <w:footerReference w:type="first" r:id="rId2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B0E3E" w14:textId="77777777" w:rsidR="0016488E" w:rsidRDefault="0016488E" w:rsidP="00C831A2">
      <w:pPr>
        <w:spacing w:line="240" w:lineRule="auto"/>
      </w:pPr>
      <w:r>
        <w:separator/>
      </w:r>
    </w:p>
  </w:endnote>
  <w:endnote w:type="continuationSeparator" w:id="0">
    <w:p w14:paraId="244BAC25" w14:textId="77777777" w:rsidR="0016488E" w:rsidRDefault="0016488E" w:rsidP="00C831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66B2" w14:textId="77777777" w:rsidR="00E202F1" w:rsidRDefault="00E202F1" w:rsidP="0098270B">
    <w:pPr>
      <w:pStyle w:val="Footer"/>
      <w:jc w:val="right"/>
    </w:pPr>
  </w:p>
  <w:p w14:paraId="49E5799B" w14:textId="77777777" w:rsidR="00A56F00" w:rsidRPr="00E202F1" w:rsidRDefault="00A56F00" w:rsidP="0098270B">
    <w:pPr>
      <w:pStyle w:val="Footer"/>
      <w:jc w:val="right"/>
      <w:rPr>
        <w:sz w:val="20"/>
        <w:szCs w:val="20"/>
      </w:rPr>
    </w:pPr>
    <w:r w:rsidRPr="00E202F1">
      <w:rPr>
        <w:sz w:val="20"/>
        <w:szCs w:val="20"/>
      </w:rPr>
      <w:fldChar w:fldCharType="begin"/>
    </w:r>
    <w:r w:rsidRPr="00E202F1">
      <w:rPr>
        <w:sz w:val="20"/>
        <w:szCs w:val="20"/>
      </w:rPr>
      <w:instrText xml:space="preserve"> PAGE   \* MERGEFORMAT </w:instrText>
    </w:r>
    <w:r w:rsidRPr="00E202F1">
      <w:rPr>
        <w:sz w:val="20"/>
        <w:szCs w:val="20"/>
      </w:rPr>
      <w:fldChar w:fldCharType="separate"/>
    </w:r>
    <w:r w:rsidR="00B0126C">
      <w:rPr>
        <w:noProof/>
        <w:sz w:val="20"/>
        <w:szCs w:val="20"/>
      </w:rPr>
      <w:t>3</w:t>
    </w:r>
    <w:r w:rsidRPr="00E202F1">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5906" w14:textId="77777777" w:rsidR="00EB6E3A" w:rsidRDefault="00EB6E3A">
    <w:pPr>
      <w:pStyle w:val="Footer"/>
      <w:jc w:val="right"/>
    </w:pPr>
  </w:p>
  <w:p w14:paraId="44D2E178" w14:textId="77777777" w:rsidR="00EB6E3A" w:rsidRDefault="00EB6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DCDFE" w14:textId="77777777" w:rsidR="0016488E" w:rsidRDefault="0016488E" w:rsidP="00C831A2">
      <w:pPr>
        <w:spacing w:line="240" w:lineRule="auto"/>
      </w:pPr>
      <w:r>
        <w:separator/>
      </w:r>
    </w:p>
  </w:footnote>
  <w:footnote w:type="continuationSeparator" w:id="0">
    <w:p w14:paraId="6E0CE2F5" w14:textId="77777777" w:rsidR="0016488E" w:rsidRDefault="0016488E" w:rsidP="00C831A2">
      <w:pPr>
        <w:spacing w:line="240" w:lineRule="auto"/>
      </w:pPr>
      <w:r>
        <w:continuationSeparator/>
      </w:r>
    </w:p>
  </w:footnote>
  <w:footnote w:id="1">
    <w:p w14:paraId="13C84701" w14:textId="1EF4D739" w:rsidR="00FF1F67" w:rsidRDefault="00616EDC" w:rsidP="003744E5">
      <w:pPr>
        <w:spacing w:before="0" w:line="240" w:lineRule="auto"/>
      </w:pPr>
      <w:r w:rsidRPr="003744E5">
        <w:rPr>
          <w:rStyle w:val="FootnoteReference"/>
          <w:sz w:val="20"/>
          <w:szCs w:val="20"/>
        </w:rPr>
        <w:footnoteRef/>
      </w:r>
      <w:r w:rsidRPr="003744E5">
        <w:rPr>
          <w:sz w:val="20"/>
          <w:szCs w:val="20"/>
        </w:rPr>
        <w:t xml:space="preserve"> See: </w:t>
      </w:r>
      <w:hyperlink r:id="rId1" w:history="1">
        <w:r w:rsidRPr="003744E5">
          <w:rPr>
            <w:rStyle w:val="Hyperlink"/>
            <w:sz w:val="20"/>
            <w:szCs w:val="20"/>
          </w:rPr>
          <w:t>www.hcch.net/en/home</w:t>
        </w:r>
      </w:hyperlink>
      <w:r w:rsidRPr="003744E5">
        <w:rPr>
          <w:sz w:val="20"/>
          <w:szCs w:val="20"/>
        </w:rPr>
        <w:t>.</w:t>
      </w:r>
      <w:r w:rsidR="0073791D">
        <w:rPr>
          <w:sz w:val="20"/>
          <w:szCs w:val="20"/>
        </w:rPr>
        <w:t xml:space="preserve"> </w:t>
      </w:r>
      <w:r w:rsidRPr="003744E5">
        <w:rPr>
          <w:sz w:val="20"/>
          <w:szCs w:val="20"/>
        </w:rPr>
        <w:t>A Practic</w:t>
      </w:r>
      <w:r w:rsidR="004D3333">
        <w:rPr>
          <w:sz w:val="20"/>
          <w:szCs w:val="20"/>
        </w:rPr>
        <w:t>al</w:t>
      </w:r>
      <w:r w:rsidRPr="003744E5">
        <w:rPr>
          <w:sz w:val="20"/>
          <w:szCs w:val="20"/>
        </w:rPr>
        <w:t xml:space="preserve"> Handbook on the operation of the Convention can be purchased from this website.</w:t>
      </w:r>
    </w:p>
  </w:footnote>
  <w:footnote w:id="2">
    <w:p w14:paraId="0558BB79" w14:textId="2E2E7A8C" w:rsidR="00FF1F67" w:rsidRDefault="0067676E" w:rsidP="003744E5">
      <w:pPr>
        <w:pStyle w:val="FootnoteText"/>
        <w:spacing w:before="0"/>
      </w:pPr>
      <w:r w:rsidRPr="003744E5">
        <w:rPr>
          <w:rStyle w:val="FootnoteReference"/>
        </w:rPr>
        <w:footnoteRef/>
      </w:r>
      <w:r w:rsidRPr="003744E5">
        <w:t xml:space="preserve"> Although the examiner will usually be a </w:t>
      </w:r>
      <w:r w:rsidR="00D0677B" w:rsidRPr="003744E5">
        <w:t>j</w:t>
      </w:r>
      <w:r w:rsidRPr="003744E5">
        <w:t xml:space="preserve">udge, a </w:t>
      </w:r>
      <w:r w:rsidR="007D660F" w:rsidRPr="003744E5">
        <w:t>r</w:t>
      </w:r>
      <w:r w:rsidRPr="003744E5">
        <w:t xml:space="preserve">egistrar of the Court or other person may also be appointed for the purpose of an examination (see r 29.11 and the definition of </w:t>
      </w:r>
      <w:r w:rsidR="007D660F" w:rsidRPr="003744E5">
        <w:t>“</w:t>
      </w:r>
      <w:r w:rsidR="004D3333">
        <w:t>e</w:t>
      </w:r>
      <w:r w:rsidRPr="003744E5">
        <w:t>xaminer</w:t>
      </w:r>
      <w:r w:rsidR="007D660F" w:rsidRPr="003744E5">
        <w:t>”</w:t>
      </w:r>
      <w:r w:rsidRPr="003744E5">
        <w:t xml:space="preserve"> in Schedule 1 of the</w:t>
      </w:r>
      <w:r w:rsidR="000404AC">
        <w:t xml:space="preserve"> </w:t>
      </w:r>
      <w:hyperlink r:id="rId2" w:history="1">
        <w:r w:rsidR="000404AC">
          <w:rPr>
            <w:rStyle w:val="Hyperlink"/>
          </w:rPr>
          <w:t>Federal Court Rules</w:t>
        </w:r>
      </w:hyperlink>
      <w:r w:rsidRPr="003744E5">
        <w:t>).</w:t>
      </w:r>
    </w:p>
  </w:footnote>
  <w:footnote w:id="3">
    <w:p w14:paraId="381CB6B9" w14:textId="77777777" w:rsidR="00FF1F67" w:rsidRDefault="0043583B" w:rsidP="003744E5">
      <w:pPr>
        <w:pStyle w:val="FootnoteText"/>
        <w:spacing w:before="0"/>
      </w:pPr>
      <w:r w:rsidRPr="003744E5">
        <w:rPr>
          <w:rStyle w:val="FootnoteReference"/>
        </w:rPr>
        <w:footnoteRef/>
      </w:r>
      <w:r w:rsidRPr="003744E5">
        <w:t xml:space="preserve"> See s 7(2) of the </w:t>
      </w:r>
      <w:hyperlink r:id="rId3" w:history="1">
        <w:r w:rsidRPr="003744E5">
          <w:rPr>
            <w:rStyle w:val="Hyperlink"/>
            <w:i/>
          </w:rPr>
          <w:t>Foreign Evidence Act 1994</w:t>
        </w:r>
        <w:r w:rsidRPr="003744E5">
          <w:rPr>
            <w:rStyle w:val="Hyperlink"/>
          </w:rPr>
          <w:t xml:space="preserve"> (Cth)</w:t>
        </w:r>
      </w:hyperlink>
      <w:r w:rsidRPr="003744E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E46A" w14:textId="77777777" w:rsidR="00793818" w:rsidRDefault="00290E04" w:rsidP="00FF235E">
    <w:pPr>
      <w:pStyle w:val="Header"/>
      <w:tabs>
        <w:tab w:val="clear" w:pos="9026"/>
        <w:tab w:val="left" w:pos="5703"/>
        <w:tab w:val="right" w:pos="9639"/>
      </w:tabs>
    </w:pPr>
    <w:r w:rsidRPr="0044514B">
      <w:rPr>
        <w:noProof/>
        <w:lang w:eastAsia="en-AU"/>
      </w:rPr>
      <w:drawing>
        <wp:inline distT="0" distB="0" distL="0" distR="0" wp14:anchorId="48C00132" wp14:editId="08FAACEA">
          <wp:extent cx="2206625" cy="55181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6625" cy="551815"/>
                  </a:xfrm>
                  <a:prstGeom prst="rect">
                    <a:avLst/>
                  </a:prstGeom>
                  <a:noFill/>
                  <a:ln>
                    <a:noFill/>
                  </a:ln>
                </pic:spPr>
              </pic:pic>
            </a:graphicData>
          </a:graphic>
        </wp:inline>
      </w:drawing>
    </w:r>
  </w:p>
  <w:p w14:paraId="75FC7153" w14:textId="77777777" w:rsidR="00C831A2" w:rsidRDefault="00C831A2" w:rsidP="00FF235E">
    <w:pPr>
      <w:pStyle w:val="Header"/>
      <w:tabs>
        <w:tab w:val="clear" w:pos="9026"/>
        <w:tab w:val="left" w:pos="5703"/>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E5D00"/>
    <w:multiLevelType w:val="multilevel"/>
    <w:tmpl w:val="FFFFFFFF"/>
    <w:lvl w:ilvl="0">
      <w:start w:val="1"/>
      <w:numFmt w:val="decimal"/>
      <w:pStyle w:val="Heading3"/>
      <w:lvlText w:val="%1."/>
      <w:lvlJc w:val="left"/>
      <w:pPr>
        <w:tabs>
          <w:tab w:val="num" w:pos="624"/>
        </w:tabs>
        <w:ind w:left="624" w:hanging="624"/>
      </w:pPr>
      <w:rPr>
        <w:rFonts w:ascii="Calibri" w:hAnsi="Calibri" w:cs="Times New Roman" w:hint="default"/>
        <w:b/>
        <w:i w:val="0"/>
        <w:color w:val="auto"/>
        <w:sz w:val="26"/>
      </w:rPr>
    </w:lvl>
    <w:lvl w:ilvl="1">
      <w:start w:val="1"/>
      <w:numFmt w:val="decimal"/>
      <w:isLgl/>
      <w:lvlText w:val="%1.%2"/>
      <w:lvlJc w:val="left"/>
      <w:pPr>
        <w:tabs>
          <w:tab w:val="num" w:pos="624"/>
        </w:tabs>
        <w:ind w:left="624" w:hanging="624"/>
      </w:pPr>
      <w:rPr>
        <w:rFonts w:ascii="Calibri" w:hAnsi="Calibri" w:cs="Times New Roman" w:hint="default"/>
        <w:b w:val="0"/>
        <w:i w:val="0"/>
        <w:color w:val="auto"/>
        <w:sz w:val="24"/>
      </w:rPr>
    </w:lvl>
    <w:lvl w:ilvl="2">
      <w:start w:val="1"/>
      <w:numFmt w:val="lowerLetter"/>
      <w:lvlText w:val="(%3)"/>
      <w:lvlJc w:val="left"/>
      <w:pPr>
        <w:tabs>
          <w:tab w:val="num" w:pos="1474"/>
        </w:tabs>
        <w:ind w:left="1474" w:hanging="567"/>
      </w:pPr>
      <w:rPr>
        <w:rFonts w:ascii="Calibri" w:hAnsi="Calibri" w:cs="Times New Roman" w:hint="default"/>
        <w:b w:val="0"/>
        <w:i w:val="0"/>
        <w:color w:val="auto"/>
        <w:sz w:val="24"/>
      </w:rPr>
    </w:lvl>
    <w:lvl w:ilvl="3">
      <w:start w:val="1"/>
      <w:numFmt w:val="bullet"/>
      <w:lvlText w:val=""/>
      <w:lvlJc w:val="left"/>
      <w:pPr>
        <w:tabs>
          <w:tab w:val="num" w:pos="1474"/>
        </w:tabs>
        <w:ind w:left="1474" w:hanging="567"/>
      </w:pPr>
      <w:rPr>
        <w:rFonts w:ascii="Symbol" w:hAnsi="Symbol" w:hint="default"/>
        <w:b w:val="0"/>
        <w:i w:val="0"/>
        <w:color w:val="63656A"/>
        <w:sz w:val="22"/>
      </w:rPr>
    </w:lvl>
    <w:lvl w:ilvl="4">
      <w:start w:val="1"/>
      <w:numFmt w:val="lowerRoman"/>
      <w:lvlText w:val="(%5)"/>
      <w:lvlJc w:val="left"/>
      <w:pPr>
        <w:tabs>
          <w:tab w:val="num" w:pos="2325"/>
        </w:tabs>
        <w:ind w:left="2325" w:hanging="567"/>
      </w:pPr>
      <w:rPr>
        <w:rFonts w:ascii="Calibri" w:hAnsi="Calibri" w:cs="Times New Roman" w:hint="default"/>
        <w:b w:val="0"/>
        <w:i w:val="0"/>
        <w:sz w:val="22"/>
      </w:rPr>
    </w:lvl>
    <w:lvl w:ilvl="5">
      <w:start w:val="1"/>
      <w:numFmt w:val="bullet"/>
      <w:lvlText w:val=""/>
      <w:lvlJc w:val="left"/>
      <w:pPr>
        <w:tabs>
          <w:tab w:val="num" w:pos="2325"/>
        </w:tabs>
        <w:ind w:left="2325" w:hanging="567"/>
      </w:pPr>
      <w:rPr>
        <w:rFonts w:ascii="Symbol" w:hAnsi="Symbol" w:hint="default"/>
        <w:color w:val="63656A"/>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16cid:durableId="228998433">
    <w:abstractNumId w:val="0"/>
  </w:num>
  <w:num w:numId="2" w16cid:durableId="1642999727">
    <w:abstractNumId w:val="0"/>
  </w:num>
  <w:num w:numId="3" w16cid:durableId="2090611511">
    <w:abstractNumId w:val="0"/>
  </w:num>
  <w:num w:numId="4" w16cid:durableId="2003190719">
    <w:abstractNumId w:val="0"/>
  </w:num>
  <w:num w:numId="5" w16cid:durableId="653145956">
    <w:abstractNumId w:val="0"/>
  </w:num>
  <w:num w:numId="6" w16cid:durableId="676660644">
    <w:abstractNumId w:val="0"/>
  </w:num>
  <w:num w:numId="7" w16cid:durableId="362243622">
    <w:abstractNumId w:val="0"/>
  </w:num>
  <w:num w:numId="8" w16cid:durableId="117729184">
    <w:abstractNumId w:val="0"/>
  </w:num>
  <w:num w:numId="9" w16cid:durableId="1084494016">
    <w:abstractNumId w:val="0"/>
  </w:num>
  <w:num w:numId="10" w16cid:durableId="1447459885">
    <w:abstractNumId w:val="0"/>
  </w:num>
  <w:num w:numId="11" w16cid:durableId="321936548">
    <w:abstractNumId w:val="0"/>
  </w:num>
  <w:num w:numId="12" w16cid:durableId="1183282452">
    <w:abstractNumId w:val="0"/>
  </w:num>
  <w:num w:numId="13" w16cid:durableId="1293945709">
    <w:abstractNumId w:val="0"/>
  </w:num>
  <w:num w:numId="14" w16cid:durableId="274751700">
    <w:abstractNumId w:val="0"/>
  </w:num>
  <w:num w:numId="15" w16cid:durableId="2039232608">
    <w:abstractNumId w:val="0"/>
  </w:num>
  <w:num w:numId="16" w16cid:durableId="208761252">
    <w:abstractNumId w:val="0"/>
  </w:num>
  <w:num w:numId="17" w16cid:durableId="2031951251">
    <w:abstractNumId w:val="0"/>
  </w:num>
  <w:num w:numId="18" w16cid:durableId="930353899">
    <w:abstractNumId w:val="0"/>
  </w:num>
  <w:num w:numId="19" w16cid:durableId="1809742207">
    <w:abstractNumId w:val="0"/>
  </w:num>
  <w:num w:numId="20" w16cid:durableId="1295138603">
    <w:abstractNumId w:val="0"/>
  </w:num>
  <w:num w:numId="21" w16cid:durableId="584650552">
    <w:abstractNumId w:val="0"/>
  </w:num>
  <w:num w:numId="22" w16cid:durableId="423838496">
    <w:abstractNumId w:val="0"/>
  </w:num>
  <w:num w:numId="23" w16cid:durableId="1640571819">
    <w:abstractNumId w:val="0"/>
  </w:num>
  <w:num w:numId="24" w16cid:durableId="173879329">
    <w:abstractNumId w:val="0"/>
  </w:num>
  <w:num w:numId="25" w16cid:durableId="755202056">
    <w:abstractNumId w:val="0"/>
  </w:num>
  <w:num w:numId="26" w16cid:durableId="547300031">
    <w:abstractNumId w:val="0"/>
  </w:num>
  <w:num w:numId="27" w16cid:durableId="104641895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E3"/>
    <w:rsid w:val="000135F5"/>
    <w:rsid w:val="00022173"/>
    <w:rsid w:val="00024C4E"/>
    <w:rsid w:val="0003544F"/>
    <w:rsid w:val="000404AC"/>
    <w:rsid w:val="00051488"/>
    <w:rsid w:val="00057494"/>
    <w:rsid w:val="00061978"/>
    <w:rsid w:val="00070685"/>
    <w:rsid w:val="00094D41"/>
    <w:rsid w:val="000952B4"/>
    <w:rsid w:val="0009537C"/>
    <w:rsid w:val="000B31C5"/>
    <w:rsid w:val="000C51BE"/>
    <w:rsid w:val="00101760"/>
    <w:rsid w:val="00104819"/>
    <w:rsid w:val="00114934"/>
    <w:rsid w:val="00123F68"/>
    <w:rsid w:val="00130488"/>
    <w:rsid w:val="00147278"/>
    <w:rsid w:val="00150264"/>
    <w:rsid w:val="001635F0"/>
    <w:rsid w:val="0016488E"/>
    <w:rsid w:val="0017766F"/>
    <w:rsid w:val="00193CEA"/>
    <w:rsid w:val="001965E0"/>
    <w:rsid w:val="001A2D5C"/>
    <w:rsid w:val="001A2FBF"/>
    <w:rsid w:val="001B03C7"/>
    <w:rsid w:val="001B5BE8"/>
    <w:rsid w:val="001C09BC"/>
    <w:rsid w:val="001C1A25"/>
    <w:rsid w:val="001C33E0"/>
    <w:rsid w:val="001C54D5"/>
    <w:rsid w:val="001C6139"/>
    <w:rsid w:val="001D690E"/>
    <w:rsid w:val="001E71D6"/>
    <w:rsid w:val="001F5B21"/>
    <w:rsid w:val="0020376D"/>
    <w:rsid w:val="00214A14"/>
    <w:rsid w:val="00226D0B"/>
    <w:rsid w:val="002403F1"/>
    <w:rsid w:val="00243CCE"/>
    <w:rsid w:val="00261265"/>
    <w:rsid w:val="002701C2"/>
    <w:rsid w:val="002860F1"/>
    <w:rsid w:val="00287838"/>
    <w:rsid w:val="00290E04"/>
    <w:rsid w:val="00296E89"/>
    <w:rsid w:val="002A07E8"/>
    <w:rsid w:val="002A1667"/>
    <w:rsid w:val="002A604E"/>
    <w:rsid w:val="002C7E42"/>
    <w:rsid w:val="00330DBA"/>
    <w:rsid w:val="00341912"/>
    <w:rsid w:val="003527F4"/>
    <w:rsid w:val="00365B79"/>
    <w:rsid w:val="003744E5"/>
    <w:rsid w:val="003863B6"/>
    <w:rsid w:val="003A2468"/>
    <w:rsid w:val="003B2868"/>
    <w:rsid w:val="003C5254"/>
    <w:rsid w:val="003E663B"/>
    <w:rsid w:val="00412D0F"/>
    <w:rsid w:val="00432A5E"/>
    <w:rsid w:val="0043394D"/>
    <w:rsid w:val="0043583B"/>
    <w:rsid w:val="00436CBD"/>
    <w:rsid w:val="00440A71"/>
    <w:rsid w:val="0044514B"/>
    <w:rsid w:val="00452ED0"/>
    <w:rsid w:val="004735FF"/>
    <w:rsid w:val="0047651C"/>
    <w:rsid w:val="004866B6"/>
    <w:rsid w:val="00494EAD"/>
    <w:rsid w:val="004A1409"/>
    <w:rsid w:val="004D3333"/>
    <w:rsid w:val="004D6339"/>
    <w:rsid w:val="00500330"/>
    <w:rsid w:val="00500CE8"/>
    <w:rsid w:val="00505709"/>
    <w:rsid w:val="00506E75"/>
    <w:rsid w:val="0051539E"/>
    <w:rsid w:val="005222AE"/>
    <w:rsid w:val="00570E57"/>
    <w:rsid w:val="00572E42"/>
    <w:rsid w:val="00581E22"/>
    <w:rsid w:val="00582365"/>
    <w:rsid w:val="00594E29"/>
    <w:rsid w:val="005B596D"/>
    <w:rsid w:val="005C2E03"/>
    <w:rsid w:val="005C361D"/>
    <w:rsid w:val="005D0A63"/>
    <w:rsid w:val="005E0CB6"/>
    <w:rsid w:val="005E0F7C"/>
    <w:rsid w:val="005F1861"/>
    <w:rsid w:val="005F46E5"/>
    <w:rsid w:val="00602F1F"/>
    <w:rsid w:val="00610374"/>
    <w:rsid w:val="00615CB3"/>
    <w:rsid w:val="006161E4"/>
    <w:rsid w:val="00616EDC"/>
    <w:rsid w:val="00620771"/>
    <w:rsid w:val="00621E77"/>
    <w:rsid w:val="006226B9"/>
    <w:rsid w:val="00623774"/>
    <w:rsid w:val="00630D33"/>
    <w:rsid w:val="00637AC3"/>
    <w:rsid w:val="00644561"/>
    <w:rsid w:val="00650688"/>
    <w:rsid w:val="006509F4"/>
    <w:rsid w:val="0067676E"/>
    <w:rsid w:val="00685BCC"/>
    <w:rsid w:val="00696BBF"/>
    <w:rsid w:val="006A2E3B"/>
    <w:rsid w:val="007331E4"/>
    <w:rsid w:val="0073791D"/>
    <w:rsid w:val="00743ADB"/>
    <w:rsid w:val="007516F5"/>
    <w:rsid w:val="007563A4"/>
    <w:rsid w:val="00770B85"/>
    <w:rsid w:val="0078105C"/>
    <w:rsid w:val="0079316E"/>
    <w:rsid w:val="00793818"/>
    <w:rsid w:val="00794CE6"/>
    <w:rsid w:val="00796BCB"/>
    <w:rsid w:val="007A7447"/>
    <w:rsid w:val="007B3563"/>
    <w:rsid w:val="007B6365"/>
    <w:rsid w:val="007C00F6"/>
    <w:rsid w:val="007C58D4"/>
    <w:rsid w:val="007D660F"/>
    <w:rsid w:val="007E209A"/>
    <w:rsid w:val="007F5158"/>
    <w:rsid w:val="0080202F"/>
    <w:rsid w:val="00802CEC"/>
    <w:rsid w:val="00807412"/>
    <w:rsid w:val="00833620"/>
    <w:rsid w:val="008466F8"/>
    <w:rsid w:val="008520B7"/>
    <w:rsid w:val="0088016D"/>
    <w:rsid w:val="008B356F"/>
    <w:rsid w:val="008B49A0"/>
    <w:rsid w:val="008C23CB"/>
    <w:rsid w:val="008C48F4"/>
    <w:rsid w:val="008C5BAD"/>
    <w:rsid w:val="008E056C"/>
    <w:rsid w:val="008E478D"/>
    <w:rsid w:val="008F26D0"/>
    <w:rsid w:val="008F7BE2"/>
    <w:rsid w:val="0092071F"/>
    <w:rsid w:val="00953987"/>
    <w:rsid w:val="009604F7"/>
    <w:rsid w:val="009725AE"/>
    <w:rsid w:val="00980093"/>
    <w:rsid w:val="0098270B"/>
    <w:rsid w:val="00983F61"/>
    <w:rsid w:val="00990D39"/>
    <w:rsid w:val="009965B6"/>
    <w:rsid w:val="009A66C2"/>
    <w:rsid w:val="009D220D"/>
    <w:rsid w:val="009D7B95"/>
    <w:rsid w:val="009F09A7"/>
    <w:rsid w:val="009F28FE"/>
    <w:rsid w:val="009F7701"/>
    <w:rsid w:val="00A00060"/>
    <w:rsid w:val="00A0218F"/>
    <w:rsid w:val="00A06513"/>
    <w:rsid w:val="00A260A9"/>
    <w:rsid w:val="00A2668E"/>
    <w:rsid w:val="00A536BB"/>
    <w:rsid w:val="00A56F00"/>
    <w:rsid w:val="00A773B5"/>
    <w:rsid w:val="00A91CCB"/>
    <w:rsid w:val="00A971D5"/>
    <w:rsid w:val="00AA1A7A"/>
    <w:rsid w:val="00AB04FC"/>
    <w:rsid w:val="00AC0AAD"/>
    <w:rsid w:val="00AC3C28"/>
    <w:rsid w:val="00AD1D75"/>
    <w:rsid w:val="00AE641F"/>
    <w:rsid w:val="00AF2585"/>
    <w:rsid w:val="00B0126C"/>
    <w:rsid w:val="00B02F5D"/>
    <w:rsid w:val="00B04D04"/>
    <w:rsid w:val="00B0707F"/>
    <w:rsid w:val="00B10927"/>
    <w:rsid w:val="00B12C88"/>
    <w:rsid w:val="00B144FF"/>
    <w:rsid w:val="00B24EC3"/>
    <w:rsid w:val="00B36F18"/>
    <w:rsid w:val="00B4390C"/>
    <w:rsid w:val="00B5216C"/>
    <w:rsid w:val="00B61C69"/>
    <w:rsid w:val="00B64347"/>
    <w:rsid w:val="00B64A5B"/>
    <w:rsid w:val="00B72343"/>
    <w:rsid w:val="00B91FD7"/>
    <w:rsid w:val="00B93F4D"/>
    <w:rsid w:val="00BA4F22"/>
    <w:rsid w:val="00BB2037"/>
    <w:rsid w:val="00BB28AF"/>
    <w:rsid w:val="00BB58A3"/>
    <w:rsid w:val="00BC132D"/>
    <w:rsid w:val="00BD0C81"/>
    <w:rsid w:val="00BD4539"/>
    <w:rsid w:val="00BE1790"/>
    <w:rsid w:val="00BE3A2D"/>
    <w:rsid w:val="00BE756E"/>
    <w:rsid w:val="00BF025A"/>
    <w:rsid w:val="00BF0E19"/>
    <w:rsid w:val="00C07257"/>
    <w:rsid w:val="00C10B82"/>
    <w:rsid w:val="00C14A25"/>
    <w:rsid w:val="00C23886"/>
    <w:rsid w:val="00C37673"/>
    <w:rsid w:val="00C50BD0"/>
    <w:rsid w:val="00C55991"/>
    <w:rsid w:val="00C55A6E"/>
    <w:rsid w:val="00C55BEA"/>
    <w:rsid w:val="00C73481"/>
    <w:rsid w:val="00C7623A"/>
    <w:rsid w:val="00C8106A"/>
    <w:rsid w:val="00C816E9"/>
    <w:rsid w:val="00C825E5"/>
    <w:rsid w:val="00C831A2"/>
    <w:rsid w:val="00C849C9"/>
    <w:rsid w:val="00C93525"/>
    <w:rsid w:val="00C93B6A"/>
    <w:rsid w:val="00CA2133"/>
    <w:rsid w:val="00CB2901"/>
    <w:rsid w:val="00CB328A"/>
    <w:rsid w:val="00CC0551"/>
    <w:rsid w:val="00CC7E2E"/>
    <w:rsid w:val="00CE1D3B"/>
    <w:rsid w:val="00CE6255"/>
    <w:rsid w:val="00CE72AC"/>
    <w:rsid w:val="00CF5351"/>
    <w:rsid w:val="00D040CA"/>
    <w:rsid w:val="00D0677B"/>
    <w:rsid w:val="00D0750C"/>
    <w:rsid w:val="00D11C56"/>
    <w:rsid w:val="00D15003"/>
    <w:rsid w:val="00D17430"/>
    <w:rsid w:val="00D258EA"/>
    <w:rsid w:val="00D3054C"/>
    <w:rsid w:val="00D31965"/>
    <w:rsid w:val="00D5164E"/>
    <w:rsid w:val="00D56A67"/>
    <w:rsid w:val="00D70EB3"/>
    <w:rsid w:val="00D82396"/>
    <w:rsid w:val="00D872CB"/>
    <w:rsid w:val="00D9387E"/>
    <w:rsid w:val="00DB0D5A"/>
    <w:rsid w:val="00DB62A4"/>
    <w:rsid w:val="00DB699E"/>
    <w:rsid w:val="00DC3E2A"/>
    <w:rsid w:val="00DC65A2"/>
    <w:rsid w:val="00DD64CB"/>
    <w:rsid w:val="00DE3305"/>
    <w:rsid w:val="00DF15AA"/>
    <w:rsid w:val="00E202F1"/>
    <w:rsid w:val="00E20EF4"/>
    <w:rsid w:val="00E21602"/>
    <w:rsid w:val="00E25200"/>
    <w:rsid w:val="00E26FCB"/>
    <w:rsid w:val="00E36DAE"/>
    <w:rsid w:val="00E42105"/>
    <w:rsid w:val="00E52BD2"/>
    <w:rsid w:val="00E60111"/>
    <w:rsid w:val="00E64F0E"/>
    <w:rsid w:val="00E71C01"/>
    <w:rsid w:val="00EA2382"/>
    <w:rsid w:val="00EA75D9"/>
    <w:rsid w:val="00EB6E3A"/>
    <w:rsid w:val="00EC0052"/>
    <w:rsid w:val="00EC347E"/>
    <w:rsid w:val="00EC6DE3"/>
    <w:rsid w:val="00ED221C"/>
    <w:rsid w:val="00F24294"/>
    <w:rsid w:val="00F27FE5"/>
    <w:rsid w:val="00F34246"/>
    <w:rsid w:val="00F40010"/>
    <w:rsid w:val="00F477C7"/>
    <w:rsid w:val="00F560FB"/>
    <w:rsid w:val="00F67CC8"/>
    <w:rsid w:val="00F73742"/>
    <w:rsid w:val="00FA5699"/>
    <w:rsid w:val="00FA5BED"/>
    <w:rsid w:val="00FD65F3"/>
    <w:rsid w:val="00FF0537"/>
    <w:rsid w:val="00FF122D"/>
    <w:rsid w:val="00FF1F67"/>
    <w:rsid w:val="00FF235E"/>
    <w:rsid w:val="00FF439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3F61CA"/>
  <w14:defaultImageDpi w14:val="0"/>
  <w15:docId w15:val="{25240D94-AF87-4BCB-A1D1-5696EF5B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BED"/>
    <w:pPr>
      <w:spacing w:before="120" w:after="0"/>
      <w:jc w:val="both"/>
    </w:pPr>
    <w:rPr>
      <w:rFonts w:cs="Times New Roman"/>
      <w:sz w:val="24"/>
    </w:rPr>
  </w:style>
  <w:style w:type="paragraph" w:styleId="Heading1">
    <w:name w:val="heading 1"/>
    <w:basedOn w:val="Heading2"/>
    <w:next w:val="Normal"/>
    <w:link w:val="Heading1Char"/>
    <w:uiPriority w:val="9"/>
    <w:qFormat/>
    <w:rsid w:val="00BE3A2D"/>
    <w:pPr>
      <w:outlineLvl w:val="0"/>
    </w:pPr>
    <w:rPr>
      <w:b/>
      <w:sz w:val="36"/>
      <w:szCs w:val="36"/>
    </w:rPr>
  </w:style>
  <w:style w:type="paragraph" w:styleId="Heading2">
    <w:name w:val="heading 2"/>
    <w:basedOn w:val="Normal"/>
    <w:next w:val="Normal"/>
    <w:link w:val="Heading2Char"/>
    <w:uiPriority w:val="9"/>
    <w:unhideWhenUsed/>
    <w:qFormat/>
    <w:rsid w:val="00BE3A2D"/>
    <w:pPr>
      <w:jc w:val="center"/>
      <w:outlineLvl w:val="1"/>
    </w:pPr>
    <w:rPr>
      <w:sz w:val="30"/>
      <w:szCs w:val="30"/>
    </w:rPr>
  </w:style>
  <w:style w:type="paragraph" w:styleId="Heading3">
    <w:name w:val="heading 3"/>
    <w:basedOn w:val="Heading2"/>
    <w:next w:val="Normal"/>
    <w:link w:val="Heading3Char"/>
    <w:uiPriority w:val="9"/>
    <w:unhideWhenUsed/>
    <w:qFormat/>
    <w:rsid w:val="002A07E8"/>
    <w:pPr>
      <w:numPr>
        <w:numId w:val="1"/>
      </w:numPr>
      <w:spacing w:before="360"/>
      <w:jc w:val="both"/>
      <w:outlineLvl w:val="2"/>
    </w:pPr>
    <w:rPr>
      <w:b/>
      <w:sz w:val="26"/>
      <w:szCs w:val="22"/>
    </w:rPr>
  </w:style>
  <w:style w:type="paragraph" w:styleId="Heading4">
    <w:name w:val="heading 4"/>
    <w:basedOn w:val="Heading2"/>
    <w:next w:val="Normal"/>
    <w:link w:val="Heading4Char"/>
    <w:uiPriority w:val="9"/>
    <w:unhideWhenUsed/>
    <w:qFormat/>
    <w:rsid w:val="00FA5BED"/>
    <w:pPr>
      <w:jc w:val="left"/>
      <w:outlineLvl w:val="3"/>
    </w:pPr>
    <w:rPr>
      <w:i/>
      <w:sz w:val="24"/>
    </w:rPr>
  </w:style>
  <w:style w:type="paragraph" w:styleId="Heading5">
    <w:name w:val="heading 5"/>
    <w:basedOn w:val="Normal"/>
    <w:next w:val="Normal"/>
    <w:link w:val="Heading5Char"/>
    <w:uiPriority w:val="9"/>
    <w:unhideWhenUsed/>
    <w:qFormat/>
    <w:rsid w:val="00FF235E"/>
    <w:pPr>
      <w:keepNext/>
      <w:outlineLvl w:val="4"/>
    </w:pPr>
    <w:rPr>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E3A2D"/>
    <w:rPr>
      <w:rFonts w:cs="Times New Roman"/>
      <w:b/>
      <w:sz w:val="36"/>
      <w:szCs w:val="36"/>
    </w:rPr>
  </w:style>
  <w:style w:type="character" w:customStyle="1" w:styleId="Heading2Char">
    <w:name w:val="Heading 2 Char"/>
    <w:basedOn w:val="DefaultParagraphFont"/>
    <w:link w:val="Heading2"/>
    <w:uiPriority w:val="9"/>
    <w:locked/>
    <w:rsid w:val="00BE3A2D"/>
    <w:rPr>
      <w:rFonts w:cs="Times New Roman"/>
      <w:sz w:val="30"/>
      <w:szCs w:val="30"/>
    </w:rPr>
  </w:style>
  <w:style w:type="character" w:customStyle="1" w:styleId="Heading3Char">
    <w:name w:val="Heading 3 Char"/>
    <w:basedOn w:val="DefaultParagraphFont"/>
    <w:link w:val="Heading3"/>
    <w:uiPriority w:val="9"/>
    <w:locked/>
    <w:rsid w:val="002A07E8"/>
    <w:rPr>
      <w:rFonts w:cs="Times New Roman"/>
      <w:b/>
      <w:sz w:val="26"/>
    </w:rPr>
  </w:style>
  <w:style w:type="character" w:customStyle="1" w:styleId="Heading4Char">
    <w:name w:val="Heading 4 Char"/>
    <w:basedOn w:val="DefaultParagraphFont"/>
    <w:link w:val="Heading4"/>
    <w:uiPriority w:val="9"/>
    <w:locked/>
    <w:rsid w:val="00FA5BED"/>
    <w:rPr>
      <w:rFonts w:eastAsia="Times New Roman" w:cs="Times New Roman"/>
      <w:b/>
      <w:i/>
      <w:sz w:val="26"/>
      <w:szCs w:val="26"/>
    </w:rPr>
  </w:style>
  <w:style w:type="character" w:customStyle="1" w:styleId="Heading5Char">
    <w:name w:val="Heading 5 Char"/>
    <w:basedOn w:val="DefaultParagraphFont"/>
    <w:link w:val="Heading5"/>
    <w:uiPriority w:val="9"/>
    <w:locked/>
    <w:rsid w:val="00FF235E"/>
    <w:rPr>
      <w:rFonts w:cs="Times New Roman"/>
      <w:b/>
      <w:i/>
      <w:sz w:val="24"/>
      <w:szCs w:val="24"/>
    </w:rPr>
  </w:style>
  <w:style w:type="paragraph" w:styleId="ListParagraph">
    <w:name w:val="List Paragraph"/>
    <w:basedOn w:val="Normal"/>
    <w:uiPriority w:val="34"/>
    <w:qFormat/>
    <w:rsid w:val="00EC6DE3"/>
    <w:pPr>
      <w:ind w:left="720"/>
      <w:contextualSpacing/>
    </w:pPr>
  </w:style>
  <w:style w:type="paragraph" w:customStyle="1" w:styleId="textblackbold">
    <w:name w:val="textblackbold"/>
    <w:basedOn w:val="Normal"/>
    <w:rsid w:val="00CF5351"/>
    <w:pPr>
      <w:spacing w:before="100" w:beforeAutospacing="1" w:after="100" w:afterAutospacing="1" w:line="318" w:lineRule="atLeast"/>
    </w:pPr>
    <w:rPr>
      <w:rFonts w:ascii="Verdana" w:hAnsi="Verdana" w:cs="Verdana"/>
      <w:b/>
      <w:bCs/>
      <w:color w:val="000000"/>
      <w:sz w:val="20"/>
      <w:szCs w:val="20"/>
    </w:rPr>
  </w:style>
  <w:style w:type="character" w:styleId="Hyperlink">
    <w:name w:val="Hyperlink"/>
    <w:basedOn w:val="DefaultParagraphFont"/>
    <w:uiPriority w:val="99"/>
    <w:unhideWhenUsed/>
    <w:rsid w:val="00FA5BED"/>
    <w:rPr>
      <w:rFonts w:cs="Times New Roman"/>
      <w:color w:val="63656A"/>
      <w:u w:val="none"/>
    </w:rPr>
  </w:style>
  <w:style w:type="table" w:styleId="TableGrid">
    <w:name w:val="Table Grid"/>
    <w:basedOn w:val="TableNormal"/>
    <w:uiPriority w:val="59"/>
    <w:rsid w:val="00F3424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31A2"/>
    <w:pPr>
      <w:tabs>
        <w:tab w:val="center" w:pos="4513"/>
        <w:tab w:val="right" w:pos="9026"/>
      </w:tabs>
      <w:spacing w:line="240" w:lineRule="auto"/>
    </w:pPr>
  </w:style>
  <w:style w:type="character" w:customStyle="1" w:styleId="HeaderChar">
    <w:name w:val="Header Char"/>
    <w:basedOn w:val="DefaultParagraphFont"/>
    <w:link w:val="Header"/>
    <w:uiPriority w:val="99"/>
    <w:locked/>
    <w:rsid w:val="00C831A2"/>
    <w:rPr>
      <w:rFonts w:cs="Times New Roman"/>
    </w:rPr>
  </w:style>
  <w:style w:type="paragraph" w:styleId="Footer">
    <w:name w:val="footer"/>
    <w:basedOn w:val="Normal"/>
    <w:link w:val="FooterChar"/>
    <w:uiPriority w:val="99"/>
    <w:unhideWhenUsed/>
    <w:rsid w:val="00C831A2"/>
    <w:pPr>
      <w:tabs>
        <w:tab w:val="center" w:pos="4513"/>
        <w:tab w:val="right" w:pos="9026"/>
      </w:tabs>
      <w:spacing w:line="240" w:lineRule="auto"/>
    </w:pPr>
  </w:style>
  <w:style w:type="character" w:customStyle="1" w:styleId="FooterChar">
    <w:name w:val="Footer Char"/>
    <w:basedOn w:val="DefaultParagraphFont"/>
    <w:link w:val="Footer"/>
    <w:uiPriority w:val="99"/>
    <w:locked/>
    <w:rsid w:val="00C831A2"/>
    <w:rPr>
      <w:rFonts w:cs="Times New Roman"/>
    </w:rPr>
  </w:style>
  <w:style w:type="paragraph" w:styleId="BalloonText">
    <w:name w:val="Balloon Text"/>
    <w:basedOn w:val="Normal"/>
    <w:link w:val="BalloonTextChar"/>
    <w:uiPriority w:val="99"/>
    <w:semiHidden/>
    <w:unhideWhenUsed/>
    <w:rsid w:val="00C831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31A2"/>
    <w:rPr>
      <w:rFonts w:ascii="Tahoma" w:hAnsi="Tahoma" w:cs="Tahoma"/>
      <w:sz w:val="16"/>
      <w:szCs w:val="16"/>
    </w:rPr>
  </w:style>
  <w:style w:type="paragraph" w:styleId="FootnoteText">
    <w:name w:val="footnote text"/>
    <w:basedOn w:val="Normal"/>
    <w:link w:val="FootnoteTextChar"/>
    <w:uiPriority w:val="99"/>
    <w:semiHidden/>
    <w:unhideWhenUsed/>
    <w:rsid w:val="00E71C01"/>
    <w:pPr>
      <w:spacing w:line="240" w:lineRule="auto"/>
    </w:pPr>
    <w:rPr>
      <w:sz w:val="20"/>
      <w:szCs w:val="20"/>
    </w:rPr>
  </w:style>
  <w:style w:type="character" w:customStyle="1" w:styleId="FootnoteTextChar">
    <w:name w:val="Footnote Text Char"/>
    <w:basedOn w:val="DefaultParagraphFont"/>
    <w:link w:val="FootnoteText"/>
    <w:uiPriority w:val="99"/>
    <w:semiHidden/>
    <w:locked/>
    <w:rsid w:val="00E71C01"/>
    <w:rPr>
      <w:rFonts w:cs="Times New Roman"/>
      <w:sz w:val="20"/>
      <w:szCs w:val="20"/>
    </w:rPr>
  </w:style>
  <w:style w:type="character" w:styleId="FootnoteReference">
    <w:name w:val="footnote reference"/>
    <w:basedOn w:val="DefaultParagraphFont"/>
    <w:uiPriority w:val="99"/>
    <w:semiHidden/>
    <w:unhideWhenUsed/>
    <w:rsid w:val="00E71C01"/>
    <w:rPr>
      <w:rFonts w:cs="Times New Roman"/>
      <w:vertAlign w:val="superscript"/>
    </w:rPr>
  </w:style>
  <w:style w:type="character" w:styleId="FollowedHyperlink">
    <w:name w:val="FollowedHyperlink"/>
    <w:basedOn w:val="DefaultParagraphFont"/>
    <w:uiPriority w:val="99"/>
    <w:semiHidden/>
    <w:unhideWhenUsed/>
    <w:rsid w:val="009F28FE"/>
    <w:rPr>
      <w:rFonts w:cs="Times New Roman"/>
      <w:color w:val="800080" w:themeColor="followedHyperlink"/>
      <w:u w:val="single"/>
    </w:rPr>
  </w:style>
  <w:style w:type="character" w:styleId="CommentReference">
    <w:name w:val="annotation reference"/>
    <w:basedOn w:val="DefaultParagraphFont"/>
    <w:uiPriority w:val="99"/>
    <w:semiHidden/>
    <w:unhideWhenUsed/>
    <w:rsid w:val="007D660F"/>
    <w:rPr>
      <w:rFonts w:cs="Times New Roman"/>
      <w:sz w:val="16"/>
      <w:szCs w:val="16"/>
    </w:rPr>
  </w:style>
  <w:style w:type="paragraph" w:styleId="CommentText">
    <w:name w:val="annotation text"/>
    <w:basedOn w:val="Normal"/>
    <w:link w:val="CommentTextChar"/>
    <w:uiPriority w:val="99"/>
    <w:unhideWhenUsed/>
    <w:rsid w:val="007D660F"/>
    <w:pPr>
      <w:spacing w:line="240" w:lineRule="auto"/>
    </w:pPr>
    <w:rPr>
      <w:sz w:val="20"/>
      <w:szCs w:val="20"/>
    </w:rPr>
  </w:style>
  <w:style w:type="character" w:customStyle="1" w:styleId="CommentTextChar">
    <w:name w:val="Comment Text Char"/>
    <w:basedOn w:val="DefaultParagraphFont"/>
    <w:link w:val="CommentText"/>
    <w:uiPriority w:val="99"/>
    <w:locked/>
    <w:rsid w:val="007D660F"/>
    <w:rPr>
      <w:rFonts w:cs="Times New Roman"/>
      <w:sz w:val="20"/>
      <w:szCs w:val="20"/>
    </w:rPr>
  </w:style>
  <w:style w:type="paragraph" w:styleId="CommentSubject">
    <w:name w:val="annotation subject"/>
    <w:basedOn w:val="CommentText"/>
    <w:next w:val="CommentText"/>
    <w:link w:val="CommentSubjectChar"/>
    <w:uiPriority w:val="99"/>
    <w:semiHidden/>
    <w:unhideWhenUsed/>
    <w:rsid w:val="007D660F"/>
    <w:rPr>
      <w:b/>
      <w:bCs/>
    </w:rPr>
  </w:style>
  <w:style w:type="character" w:customStyle="1" w:styleId="CommentSubjectChar">
    <w:name w:val="Comment Subject Char"/>
    <w:basedOn w:val="CommentTextChar"/>
    <w:link w:val="CommentSubject"/>
    <w:uiPriority w:val="99"/>
    <w:semiHidden/>
    <w:locked/>
    <w:rsid w:val="007D660F"/>
    <w:rPr>
      <w:rFonts w:cs="Times New Roman"/>
      <w:b/>
      <w:bCs/>
      <w:sz w:val="20"/>
      <w:szCs w:val="20"/>
    </w:rPr>
  </w:style>
  <w:style w:type="paragraph" w:styleId="Revision">
    <w:name w:val="Revision"/>
    <w:hidden/>
    <w:uiPriority w:val="99"/>
    <w:semiHidden/>
    <w:rsid w:val="004A1409"/>
    <w:pPr>
      <w:spacing w:after="0" w:line="240" w:lineRule="auto"/>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124691">
      <w:marLeft w:val="0"/>
      <w:marRight w:val="0"/>
      <w:marTop w:val="0"/>
      <w:marBottom w:val="0"/>
      <w:divBdr>
        <w:top w:val="none" w:sz="0" w:space="0" w:color="auto"/>
        <w:left w:val="none" w:sz="0" w:space="0" w:color="auto"/>
        <w:bottom w:val="none" w:sz="0" w:space="0" w:color="auto"/>
        <w:right w:val="none" w:sz="0" w:space="0" w:color="auto"/>
      </w:divBdr>
      <w:divsChild>
        <w:div w:id="1041124690">
          <w:marLeft w:val="1267"/>
          <w:marRight w:val="0"/>
          <w:marTop w:val="0"/>
          <w:marBottom w:val="0"/>
          <w:divBdr>
            <w:top w:val="none" w:sz="0" w:space="0" w:color="auto"/>
            <w:left w:val="none" w:sz="0" w:space="0" w:color="auto"/>
            <w:bottom w:val="none" w:sz="0" w:space="0" w:color="auto"/>
            <w:right w:val="none" w:sz="0" w:space="0" w:color="auto"/>
          </w:divBdr>
        </w:div>
        <w:div w:id="1041124692">
          <w:marLeft w:val="1267"/>
          <w:marRight w:val="0"/>
          <w:marTop w:val="0"/>
          <w:marBottom w:val="0"/>
          <w:divBdr>
            <w:top w:val="none" w:sz="0" w:space="0" w:color="auto"/>
            <w:left w:val="none" w:sz="0" w:space="0" w:color="auto"/>
            <w:bottom w:val="none" w:sz="0" w:space="0" w:color="auto"/>
            <w:right w:val="none" w:sz="0" w:space="0" w:color="auto"/>
          </w:divBdr>
        </w:div>
        <w:div w:id="1041124693">
          <w:marLeft w:val="1267"/>
          <w:marRight w:val="0"/>
          <w:marTop w:val="0"/>
          <w:marBottom w:val="0"/>
          <w:divBdr>
            <w:top w:val="none" w:sz="0" w:space="0" w:color="auto"/>
            <w:left w:val="none" w:sz="0" w:space="0" w:color="auto"/>
            <w:bottom w:val="none" w:sz="0" w:space="0" w:color="auto"/>
            <w:right w:val="none" w:sz="0" w:space="0" w:color="auto"/>
          </w:divBdr>
        </w:div>
        <w:div w:id="1041124694">
          <w:marLeft w:val="1267"/>
          <w:marRight w:val="0"/>
          <w:marTop w:val="0"/>
          <w:marBottom w:val="0"/>
          <w:divBdr>
            <w:top w:val="none" w:sz="0" w:space="0" w:color="auto"/>
            <w:left w:val="none" w:sz="0" w:space="0" w:color="auto"/>
            <w:bottom w:val="none" w:sz="0" w:space="0" w:color="auto"/>
            <w:right w:val="none" w:sz="0" w:space="0" w:color="auto"/>
          </w:divBdr>
        </w:div>
        <w:div w:id="1041124695">
          <w:marLeft w:val="1267"/>
          <w:marRight w:val="0"/>
          <w:marTop w:val="0"/>
          <w:marBottom w:val="0"/>
          <w:divBdr>
            <w:top w:val="none" w:sz="0" w:space="0" w:color="auto"/>
            <w:left w:val="none" w:sz="0" w:space="0" w:color="auto"/>
            <w:bottom w:val="none" w:sz="0" w:space="0" w:color="auto"/>
            <w:right w:val="none" w:sz="0" w:space="0" w:color="auto"/>
          </w:divBdr>
        </w:div>
        <w:div w:id="1041124696">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F2011L01551/latest/text" TargetMode="External"/><Relationship Id="rId13" Type="http://schemas.openxmlformats.org/officeDocument/2006/relationships/hyperlink" Target="https://www.legislation.gov.au/F2011L01551/latest/text" TargetMode="External"/><Relationship Id="rId18" Type="http://schemas.openxmlformats.org/officeDocument/2006/relationships/hyperlink" Target="https://www.legislation.gov.au/F2011L01551/latest/tex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law.ato.gov.au" TargetMode="External"/><Relationship Id="rId7" Type="http://schemas.openxmlformats.org/officeDocument/2006/relationships/endnotes" Target="endnotes.xml"/><Relationship Id="rId12" Type="http://schemas.openxmlformats.org/officeDocument/2006/relationships/hyperlink" Target="https://www.legislation.gov.au/F2011L01551/latest/text" TargetMode="External"/><Relationship Id="rId17" Type="http://schemas.openxmlformats.org/officeDocument/2006/relationships/hyperlink" Target="https://www.legislation.gov.au/F2011L01551/latest/tex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cch.net/en/home" TargetMode="External"/><Relationship Id="rId20" Type="http://schemas.openxmlformats.org/officeDocument/2006/relationships/hyperlink" Target="http://www.remtribunal.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Series/C2010A00035" TargetMode="External"/><Relationship Id="rId24" Type="http://schemas.openxmlformats.org/officeDocument/2006/relationships/hyperlink" Target="http://www.fedcourt.gov.au/services/videoconferencing-guide" TargetMode="External"/><Relationship Id="rId5" Type="http://schemas.openxmlformats.org/officeDocument/2006/relationships/webSettings" Target="webSettings.xml"/><Relationship Id="rId15" Type="http://schemas.openxmlformats.org/officeDocument/2006/relationships/hyperlink" Target="https://www.hcch.net/en/instruments/conventions/full-text/?cid=82" TargetMode="External"/><Relationship Id="rId23" Type="http://schemas.openxmlformats.org/officeDocument/2006/relationships/hyperlink" Target="http://www.fedcourt.gov.au/law-and-practice/practice-documents/practice-notes/gpn-tech" TargetMode="External"/><Relationship Id="rId28" Type="http://schemas.openxmlformats.org/officeDocument/2006/relationships/fontTable" Target="fontTable.xml"/><Relationship Id="rId10" Type="http://schemas.openxmlformats.org/officeDocument/2006/relationships/hyperlink" Target="https://www.legislation.gov.au/Series/C2010A00035" TargetMode="External"/><Relationship Id="rId19" Type="http://schemas.openxmlformats.org/officeDocument/2006/relationships/hyperlink" Target="https://www.legislation.gov.au/C2004A00043/latest/text" TargetMode="External"/><Relationship Id="rId4" Type="http://schemas.openxmlformats.org/officeDocument/2006/relationships/settings" Target="settings.xml"/><Relationship Id="rId9" Type="http://schemas.openxmlformats.org/officeDocument/2006/relationships/hyperlink" Target="https://www.legislation.gov.au/F2011L01551/latest/text" TargetMode="External"/><Relationship Id="rId14" Type="http://schemas.openxmlformats.org/officeDocument/2006/relationships/hyperlink" Target="https://www.legislation.gov.au/F2011L01551/latest/text" TargetMode="External"/><Relationship Id="rId22" Type="http://schemas.openxmlformats.org/officeDocument/2006/relationships/hyperlink" Target="http://www.fedcourt.gov.au/contact"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au/Series/C2004A04735" TargetMode="External"/><Relationship Id="rId2" Type="http://schemas.openxmlformats.org/officeDocument/2006/relationships/hyperlink" Target="https://www.legislation.gov.au/F2011L01551/latest/text" TargetMode="External"/><Relationship Id="rId1" Type="http://schemas.openxmlformats.org/officeDocument/2006/relationships/hyperlink" Target="http://www.hcch.net/en/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330F-223D-4911-986E-7D57655ED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Service and Evidence (GPN-OSE)</dc:title>
  <dc:subject/>
  <dc:creator>Sophie Bird</dc:creator>
  <cp:keywords/>
  <dc:description/>
  <cp:lastModifiedBy>Angela Fassoulas</cp:lastModifiedBy>
  <cp:revision>2</cp:revision>
  <cp:lastPrinted>2024-02-28T01:48:00Z</cp:lastPrinted>
  <dcterms:created xsi:type="dcterms:W3CDTF">2024-08-12T05:07:00Z</dcterms:created>
  <dcterms:modified xsi:type="dcterms:W3CDTF">2024-08-12T05:07:00Z</dcterms:modified>
</cp:coreProperties>
</file>