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B7DC" w14:textId="637C4F13" w:rsidR="00395B24" w:rsidRDefault="000B3B3D" w:rsidP="00A22932">
      <w:pPr>
        <w:pStyle w:val="CourtTitle"/>
      </w:pPr>
      <w:r>
        <w:fldChar w:fldCharType="begin"/>
      </w:r>
      <w:r>
        <w:instrText xml:space="preserve"> DOCPROPERTY  Court  \* MERGEFORMAT </w:instrText>
      </w:r>
      <w:r>
        <w:fldChar w:fldCharType="separate"/>
      </w:r>
      <w:r>
        <w:t>Federal Court of Australia</w:t>
      </w:r>
      <w:r>
        <w:fldChar w:fldCharType="end"/>
      </w:r>
    </w:p>
    <w:p w14:paraId="212F3071" w14:textId="77777777" w:rsidR="004D7950" w:rsidRDefault="004D7950">
      <w:pPr>
        <w:pStyle w:val="NormalHeadings"/>
        <w:jc w:val="center"/>
        <w:rPr>
          <w:sz w:val="32"/>
        </w:rPr>
      </w:pPr>
    </w:p>
    <w:bookmarkStart w:id="0" w:name="MNC"/>
    <w:p w14:paraId="2A621766" w14:textId="20A6162F" w:rsidR="00374CC4" w:rsidRDefault="0048144F" w:rsidP="001A2B40">
      <w:pPr>
        <w:pStyle w:val="MNC"/>
      </w:pPr>
      <w:sdt>
        <w:sdtPr>
          <w:alias w:val="MNC"/>
          <w:tag w:val="MNC"/>
          <w:id w:val="343289786"/>
          <w:lock w:val="sdtLocked"/>
          <w:placeholder>
            <w:docPart w:val="0AC9478C17CF493E951199D961315593"/>
          </w:placeholder>
          <w:dataBinding w:prefixMappings="xmlns:ns0='http://schemas.globalmacros.com/FCA'" w:xpath="/ns0:root[1]/ns0:Name[1]" w:storeItemID="{687E7CCB-4AA5-44E7-B148-17BA2B6F57C0}"/>
          <w:text w:multiLine="1"/>
        </w:sdtPr>
        <w:sdtEndPr/>
        <w:sdtContent>
          <w:r w:rsidR="005E37E5" w:rsidRPr="005E37E5">
            <w:t>Deripaska v Minister for Foreign Affairs [2025] FCAFC 36</w:t>
          </w:r>
        </w:sdtContent>
      </w:sdt>
      <w:bookmarkEnd w:id="0"/>
    </w:p>
    <w:tbl>
      <w:tblPr>
        <w:tblW w:w="9071" w:type="dxa"/>
        <w:tblLayout w:type="fixed"/>
        <w:tblLook w:val="01E0" w:firstRow="1" w:lastRow="1" w:firstColumn="1" w:lastColumn="1" w:noHBand="0" w:noVBand="0"/>
        <w:tblCaption w:val="Cover Table"/>
        <w:tblDescription w:val="Cover Table"/>
      </w:tblPr>
      <w:tblGrid>
        <w:gridCol w:w="3082"/>
        <w:gridCol w:w="5989"/>
      </w:tblGrid>
      <w:tr w:rsidR="009971DC" w14:paraId="554F56C1" w14:textId="77777777" w:rsidTr="00276A43">
        <w:tc>
          <w:tcPr>
            <w:tcW w:w="3082" w:type="dxa"/>
            <w:shd w:val="clear" w:color="auto" w:fill="auto"/>
          </w:tcPr>
          <w:p w14:paraId="4C52D1F4" w14:textId="77777777" w:rsidR="009971DC" w:rsidRDefault="009971DC"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204D6CB0" w14:textId="0E79ED1B" w:rsidR="009971DC" w:rsidRDefault="000B3B3D" w:rsidP="002539B3">
            <w:pPr>
              <w:pStyle w:val="CasesLegislationAppealFrom"/>
              <w:spacing w:after="60"/>
            </w:pPr>
            <w:fldSimple w:instr=" DOCPROPERTY  AppealFrom  \* MERGEFORMAT ">
              <w:r w:rsidRPr="00A67C4D">
                <w:rPr>
                  <w:i/>
                  <w:iCs/>
                </w:rPr>
                <w:t>Deripaska v Minister for Foreign Affairs</w:t>
              </w:r>
              <w:r>
                <w:t xml:space="preserve"> [2024] FCA 62</w:t>
              </w:r>
            </w:fldSimple>
          </w:p>
        </w:tc>
      </w:tr>
      <w:tr w:rsidR="009971DC" w14:paraId="26594C8B" w14:textId="77777777" w:rsidTr="00276A43">
        <w:tc>
          <w:tcPr>
            <w:tcW w:w="3082" w:type="dxa"/>
            <w:shd w:val="clear" w:color="auto" w:fill="auto"/>
          </w:tcPr>
          <w:p w14:paraId="5FC01A81" w14:textId="77777777" w:rsidR="009971DC" w:rsidRDefault="009971DC" w:rsidP="00663878">
            <w:pPr>
              <w:pStyle w:val="Normal1linespace"/>
              <w:widowControl w:val="0"/>
              <w:jc w:val="left"/>
            </w:pPr>
          </w:p>
        </w:tc>
        <w:tc>
          <w:tcPr>
            <w:tcW w:w="5989" w:type="dxa"/>
            <w:shd w:val="clear" w:color="auto" w:fill="auto"/>
          </w:tcPr>
          <w:p w14:paraId="67C5B262" w14:textId="77777777" w:rsidR="009971DC" w:rsidRDefault="009971DC" w:rsidP="00663878">
            <w:pPr>
              <w:pStyle w:val="Normal1linespace"/>
              <w:widowControl w:val="0"/>
              <w:jc w:val="left"/>
            </w:pPr>
          </w:p>
        </w:tc>
      </w:tr>
      <w:bookmarkEnd w:id="1"/>
      <w:tr w:rsidR="00395B24" w14:paraId="3E43B667" w14:textId="77777777" w:rsidTr="00276A43">
        <w:tc>
          <w:tcPr>
            <w:tcW w:w="3082" w:type="dxa"/>
            <w:shd w:val="clear" w:color="auto" w:fill="auto"/>
          </w:tcPr>
          <w:p w14:paraId="0C7A93B0" w14:textId="7203E18C" w:rsidR="00395B24" w:rsidRDefault="002C7385" w:rsidP="00663878">
            <w:pPr>
              <w:pStyle w:val="Normal1linespace"/>
              <w:widowControl w:val="0"/>
              <w:jc w:val="left"/>
            </w:pPr>
            <w:r>
              <w:t>File number:</w:t>
            </w:r>
          </w:p>
        </w:tc>
        <w:tc>
          <w:tcPr>
            <w:tcW w:w="5989" w:type="dxa"/>
            <w:shd w:val="clear" w:color="auto" w:fill="auto"/>
          </w:tcPr>
          <w:p w14:paraId="5580838E" w14:textId="635100E6" w:rsidR="00395B24" w:rsidRPr="009971DC" w:rsidRDefault="009971DC" w:rsidP="009971DC">
            <w:pPr>
              <w:pStyle w:val="Normal1linespace"/>
              <w:jc w:val="left"/>
            </w:pPr>
            <w:fldSimple w:instr=" REF  FileNo  \* MERGEFORMAT " w:fldLock="1">
              <w:r w:rsidRPr="009971DC">
                <w:t>WAD 41 of 2024</w:t>
              </w:r>
            </w:fldSimple>
          </w:p>
        </w:tc>
      </w:tr>
      <w:tr w:rsidR="00395B24" w14:paraId="3A5F8841" w14:textId="77777777" w:rsidTr="00276A43">
        <w:tc>
          <w:tcPr>
            <w:tcW w:w="3082" w:type="dxa"/>
            <w:shd w:val="clear" w:color="auto" w:fill="auto"/>
          </w:tcPr>
          <w:p w14:paraId="46B962C3" w14:textId="77777777" w:rsidR="00395B24" w:rsidRDefault="00395B24" w:rsidP="00663878">
            <w:pPr>
              <w:pStyle w:val="Normal1linespace"/>
              <w:widowControl w:val="0"/>
              <w:jc w:val="left"/>
            </w:pPr>
          </w:p>
        </w:tc>
        <w:tc>
          <w:tcPr>
            <w:tcW w:w="5989" w:type="dxa"/>
            <w:shd w:val="clear" w:color="auto" w:fill="auto"/>
          </w:tcPr>
          <w:p w14:paraId="510EA868" w14:textId="77777777" w:rsidR="00395B24" w:rsidRDefault="00395B24" w:rsidP="00663878">
            <w:pPr>
              <w:pStyle w:val="Normal1linespace"/>
              <w:widowControl w:val="0"/>
              <w:jc w:val="left"/>
            </w:pPr>
          </w:p>
        </w:tc>
      </w:tr>
      <w:tr w:rsidR="00395B24" w14:paraId="77B956CB" w14:textId="77777777" w:rsidTr="00276A43">
        <w:tc>
          <w:tcPr>
            <w:tcW w:w="3082" w:type="dxa"/>
            <w:shd w:val="clear" w:color="auto" w:fill="auto"/>
          </w:tcPr>
          <w:p w14:paraId="7DFB03B8"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21CAAF71" w14:textId="4E8D5152" w:rsidR="00395B24" w:rsidRDefault="002C7385" w:rsidP="00663878">
            <w:pPr>
              <w:pStyle w:val="Normal1linespace"/>
              <w:widowControl w:val="0"/>
              <w:jc w:val="left"/>
              <w:rPr>
                <w:b/>
              </w:rPr>
            </w:pPr>
            <w:r w:rsidRPr="009971DC">
              <w:rPr>
                <w:b/>
              </w:rPr>
              <w:fldChar w:fldCharType="begin" w:fldLock="1"/>
            </w:r>
            <w:r w:rsidRPr="009971DC">
              <w:rPr>
                <w:b/>
              </w:rPr>
              <w:instrText xml:space="preserve"> REF  Judge  \* MERGEFORMAT </w:instrText>
            </w:r>
            <w:r w:rsidRPr="009971DC">
              <w:rPr>
                <w:b/>
              </w:rPr>
              <w:fldChar w:fldCharType="separate"/>
            </w:r>
            <w:r w:rsidR="009971DC" w:rsidRPr="009971DC">
              <w:rPr>
                <w:b/>
                <w:caps/>
                <w:szCs w:val="24"/>
              </w:rPr>
              <w:t>WIGNEY, STEWART AND NESKOVCIN JJ</w:t>
            </w:r>
            <w:r w:rsidRPr="009971DC">
              <w:rPr>
                <w:b/>
              </w:rPr>
              <w:fldChar w:fldCharType="end"/>
            </w:r>
          </w:p>
        </w:tc>
      </w:tr>
      <w:tr w:rsidR="00395B24" w14:paraId="09429903" w14:textId="77777777" w:rsidTr="00276A43">
        <w:tc>
          <w:tcPr>
            <w:tcW w:w="3082" w:type="dxa"/>
            <w:shd w:val="clear" w:color="auto" w:fill="auto"/>
          </w:tcPr>
          <w:p w14:paraId="1C43944C" w14:textId="77777777" w:rsidR="00395B24" w:rsidRDefault="00395B24" w:rsidP="00663878">
            <w:pPr>
              <w:pStyle w:val="Normal1linespace"/>
              <w:widowControl w:val="0"/>
              <w:jc w:val="left"/>
            </w:pPr>
          </w:p>
        </w:tc>
        <w:tc>
          <w:tcPr>
            <w:tcW w:w="5989" w:type="dxa"/>
            <w:shd w:val="clear" w:color="auto" w:fill="auto"/>
          </w:tcPr>
          <w:p w14:paraId="679CE679" w14:textId="77777777" w:rsidR="00395B24" w:rsidRDefault="00395B24" w:rsidP="00663878">
            <w:pPr>
              <w:pStyle w:val="Normal1linespace"/>
              <w:widowControl w:val="0"/>
              <w:jc w:val="left"/>
            </w:pPr>
          </w:p>
        </w:tc>
      </w:tr>
      <w:tr w:rsidR="00395B24" w14:paraId="40C8E5BF" w14:textId="77777777" w:rsidTr="00276A43">
        <w:tc>
          <w:tcPr>
            <w:tcW w:w="3082" w:type="dxa"/>
            <w:shd w:val="clear" w:color="auto" w:fill="auto"/>
          </w:tcPr>
          <w:p w14:paraId="5AF4AE87" w14:textId="77777777" w:rsidR="00395B24" w:rsidRDefault="002C7385" w:rsidP="00663878">
            <w:pPr>
              <w:pStyle w:val="Normal1linespace"/>
              <w:widowControl w:val="0"/>
              <w:jc w:val="left"/>
            </w:pPr>
            <w:r>
              <w:t>Date of judgment:</w:t>
            </w:r>
          </w:p>
        </w:tc>
        <w:tc>
          <w:tcPr>
            <w:tcW w:w="5989" w:type="dxa"/>
            <w:shd w:val="clear" w:color="auto" w:fill="auto"/>
          </w:tcPr>
          <w:p w14:paraId="77D851D9" w14:textId="314E8E64" w:rsidR="00395B24" w:rsidRDefault="00C64B12" w:rsidP="00663878">
            <w:pPr>
              <w:pStyle w:val="Normal1linespace"/>
              <w:widowControl w:val="0"/>
              <w:jc w:val="left"/>
            </w:pPr>
            <w:bookmarkStart w:id="2" w:name="JudgmentDate"/>
            <w:r>
              <w:t>27 March 2025</w:t>
            </w:r>
            <w:bookmarkEnd w:id="2"/>
          </w:p>
        </w:tc>
      </w:tr>
      <w:tr w:rsidR="00395B24" w14:paraId="51FF0690" w14:textId="77777777" w:rsidTr="00276A43">
        <w:tc>
          <w:tcPr>
            <w:tcW w:w="3082" w:type="dxa"/>
            <w:shd w:val="clear" w:color="auto" w:fill="auto"/>
          </w:tcPr>
          <w:p w14:paraId="7622AA39" w14:textId="77777777" w:rsidR="00395B24" w:rsidRDefault="00395B24" w:rsidP="00663878">
            <w:pPr>
              <w:pStyle w:val="Normal1linespace"/>
              <w:widowControl w:val="0"/>
              <w:jc w:val="left"/>
            </w:pPr>
          </w:p>
        </w:tc>
        <w:tc>
          <w:tcPr>
            <w:tcW w:w="5989" w:type="dxa"/>
            <w:shd w:val="clear" w:color="auto" w:fill="auto"/>
          </w:tcPr>
          <w:p w14:paraId="2AE944BE" w14:textId="77777777" w:rsidR="00395B24" w:rsidRDefault="00395B24" w:rsidP="00663878">
            <w:pPr>
              <w:pStyle w:val="Normal1linespace"/>
              <w:widowControl w:val="0"/>
              <w:jc w:val="left"/>
            </w:pPr>
          </w:p>
        </w:tc>
      </w:tr>
      <w:tr w:rsidR="00395B24" w14:paraId="247AC51C" w14:textId="77777777" w:rsidTr="00276A43">
        <w:tc>
          <w:tcPr>
            <w:tcW w:w="3082" w:type="dxa"/>
            <w:shd w:val="clear" w:color="auto" w:fill="auto"/>
          </w:tcPr>
          <w:p w14:paraId="3FAB9E7A" w14:textId="77777777" w:rsidR="00395B24" w:rsidRDefault="002C7385" w:rsidP="00663878">
            <w:pPr>
              <w:pStyle w:val="Normal1linespace"/>
              <w:widowControl w:val="0"/>
              <w:jc w:val="left"/>
            </w:pPr>
            <w:r>
              <w:t>Catchwords:</w:t>
            </w:r>
          </w:p>
        </w:tc>
        <w:tc>
          <w:tcPr>
            <w:tcW w:w="5989" w:type="dxa"/>
            <w:shd w:val="clear" w:color="auto" w:fill="auto"/>
          </w:tcPr>
          <w:p w14:paraId="6B59710A" w14:textId="39A0A7C6" w:rsidR="004F242A" w:rsidRPr="00087CA8" w:rsidRDefault="00CE4A91" w:rsidP="00663878">
            <w:pPr>
              <w:pStyle w:val="Normal1linespace"/>
              <w:widowControl w:val="0"/>
              <w:jc w:val="left"/>
            </w:pPr>
            <w:bookmarkStart w:id="3" w:name="Catchwords"/>
            <w:r>
              <w:rPr>
                <w:b/>
                <w:bCs/>
              </w:rPr>
              <w:t>STATUTORY INTERPRETATION</w:t>
            </w:r>
            <w:r w:rsidRPr="00087CA8">
              <w:t xml:space="preserve"> </w:t>
            </w:r>
            <w:r w:rsidR="00E84770" w:rsidRPr="00E84770">
              <w:t>–</w:t>
            </w:r>
            <w:r w:rsidRPr="00087CA8">
              <w:t xml:space="preserve"> </w:t>
            </w:r>
            <w:r w:rsidR="00774A1C">
              <w:t>where</w:t>
            </w:r>
            <w:r w:rsidR="001073F4">
              <w:t xml:space="preserve"> the </w:t>
            </w:r>
            <w:r w:rsidR="001073F4" w:rsidRPr="001D2CA2">
              <w:rPr>
                <w:i/>
                <w:iCs/>
              </w:rPr>
              <w:t xml:space="preserve">Autonomous Sanctions </w:t>
            </w:r>
            <w:r w:rsidR="001073F4" w:rsidRPr="00087CA8">
              <w:rPr>
                <w:i/>
                <w:iCs/>
              </w:rPr>
              <w:t>Act</w:t>
            </w:r>
            <w:r w:rsidR="001073F4" w:rsidRPr="001D2CA2">
              <w:rPr>
                <w:i/>
                <w:iCs/>
              </w:rPr>
              <w:t xml:space="preserve"> 2011 </w:t>
            </w:r>
            <w:r w:rsidR="001073F4" w:rsidRPr="001D2CA2">
              <w:t>(Cth)</w:t>
            </w:r>
            <w:r w:rsidR="001073F4">
              <w:t xml:space="preserve"> and </w:t>
            </w:r>
            <w:r w:rsidR="001073F4" w:rsidRPr="001D2CA2">
              <w:rPr>
                <w:i/>
                <w:iCs/>
              </w:rPr>
              <w:t xml:space="preserve">Autonomous Sanctions </w:t>
            </w:r>
            <w:r w:rsidR="001073F4" w:rsidRPr="00696196">
              <w:rPr>
                <w:b/>
                <w:bCs/>
                <w:i/>
                <w:iCs/>
              </w:rPr>
              <w:t>Regulations</w:t>
            </w:r>
            <w:r w:rsidR="001073F4" w:rsidRPr="001D2CA2">
              <w:rPr>
                <w:i/>
                <w:iCs/>
              </w:rPr>
              <w:t xml:space="preserve"> 2011 </w:t>
            </w:r>
            <w:r w:rsidR="001073F4" w:rsidRPr="001D2CA2">
              <w:t>(Cth)</w:t>
            </w:r>
            <w:r w:rsidR="001073F4">
              <w:t xml:space="preserve"> </w:t>
            </w:r>
            <w:r w:rsidR="00774A1C">
              <w:t xml:space="preserve">impose </w:t>
            </w:r>
            <w:r w:rsidR="00943F0F">
              <w:t xml:space="preserve">restrictions on </w:t>
            </w:r>
            <w:r w:rsidR="00774A1C">
              <w:t xml:space="preserve">designated persons or entities </w:t>
            </w:r>
            <w:r w:rsidR="00455DB9">
              <w:t>–</w:t>
            </w:r>
            <w:r w:rsidR="006E1234">
              <w:t xml:space="preserve"> </w:t>
            </w:r>
            <w:r w:rsidR="002C1D0D">
              <w:t xml:space="preserve">where it was common ground that regs 14 and 15 would impinge on the entrenched jurisdiction under s 75(v) of the </w:t>
            </w:r>
            <w:r w:rsidR="001946BA" w:rsidRPr="00087CA8">
              <w:rPr>
                <w:i/>
                <w:iCs/>
              </w:rPr>
              <w:t>Constitution</w:t>
            </w:r>
            <w:r w:rsidR="001946BA">
              <w:t xml:space="preserve"> – </w:t>
            </w:r>
            <w:r w:rsidR="006E1234">
              <w:t xml:space="preserve">where the primary judge read down </w:t>
            </w:r>
            <w:r w:rsidR="001946BA">
              <w:t>regs 14 and 15</w:t>
            </w:r>
            <w:r w:rsidR="006E1234">
              <w:t xml:space="preserve"> </w:t>
            </w:r>
            <w:r w:rsidR="00D25613">
              <w:t xml:space="preserve">as not applying to actions taken for the objective purpose of </w:t>
            </w:r>
            <w:r w:rsidR="00045CDB">
              <w:t xml:space="preserve">challenging the validity of decisions or actions taken under </w:t>
            </w:r>
            <w:r w:rsidR="001946BA">
              <w:t xml:space="preserve">s 75(v) of the </w:t>
            </w:r>
            <w:r w:rsidR="001946BA" w:rsidRPr="00FA5342">
              <w:rPr>
                <w:i/>
                <w:iCs/>
              </w:rPr>
              <w:t>Constitution</w:t>
            </w:r>
            <w:r w:rsidR="001946BA">
              <w:t xml:space="preserve"> or s 39B(1) of the </w:t>
            </w:r>
            <w:r w:rsidR="001946BA" w:rsidRPr="00FA5342">
              <w:rPr>
                <w:i/>
                <w:iCs/>
              </w:rPr>
              <w:t>Judiciary Act</w:t>
            </w:r>
            <w:r w:rsidR="001946BA">
              <w:t xml:space="preserve"> </w:t>
            </w:r>
            <w:r w:rsidR="001946BA" w:rsidRPr="001D2CA2">
              <w:rPr>
                <w:i/>
                <w:iCs/>
              </w:rPr>
              <w:t>1903</w:t>
            </w:r>
            <w:r w:rsidR="001946BA" w:rsidRPr="001D2CA2">
              <w:t xml:space="preserve"> (Cth)</w:t>
            </w:r>
            <w:r w:rsidR="001946BA">
              <w:t xml:space="preserve"> –</w:t>
            </w:r>
            <w:r w:rsidR="00FD75D3">
              <w:t xml:space="preserve"> </w:t>
            </w:r>
            <w:r w:rsidR="001946BA">
              <w:t xml:space="preserve">whether primary judge erred </w:t>
            </w:r>
            <w:r w:rsidR="00853EE7">
              <w:t>– no error in primary judge</w:t>
            </w:r>
            <w:r w:rsidR="00942AF0">
              <w:t>’s conclusions</w:t>
            </w:r>
            <w:r w:rsidR="003D6AA3">
              <w:t xml:space="preserve"> </w:t>
            </w:r>
            <w:r w:rsidR="00C77584">
              <w:t xml:space="preserve">– </w:t>
            </w:r>
            <w:r w:rsidR="00B665F0">
              <w:t>appeal dismissed</w:t>
            </w:r>
          </w:p>
          <w:p w14:paraId="10DC3B66" w14:textId="77777777" w:rsidR="00CE4A91" w:rsidRPr="00087CA8" w:rsidRDefault="00CE4A91" w:rsidP="00663878">
            <w:pPr>
              <w:pStyle w:val="Normal1linespace"/>
              <w:widowControl w:val="0"/>
              <w:jc w:val="left"/>
            </w:pPr>
          </w:p>
          <w:p w14:paraId="4E6751A6" w14:textId="6A34F654" w:rsidR="00256489" w:rsidRPr="00087CA8" w:rsidRDefault="00E919F6" w:rsidP="00663878">
            <w:pPr>
              <w:pStyle w:val="Normal1linespace"/>
              <w:widowControl w:val="0"/>
              <w:jc w:val="left"/>
            </w:pPr>
            <w:r>
              <w:rPr>
                <w:b/>
                <w:bCs/>
              </w:rPr>
              <w:t>CONSTITUTIONAL LAW</w:t>
            </w:r>
            <w:r w:rsidRPr="001D2CA2">
              <w:t xml:space="preserve"> –</w:t>
            </w:r>
            <w:r w:rsidR="00FC2CED">
              <w:t xml:space="preserve"> </w:t>
            </w:r>
            <w:r w:rsidR="00FD75D3">
              <w:t>where primary judge held that regs 14 and 15 do not have applications that would subvert the exercise of jurisdiction under s 75(v) or s</w:t>
            </w:r>
            <w:r w:rsidR="00405ECF">
              <w:t> </w:t>
            </w:r>
            <w:r w:rsidR="00FD75D3">
              <w:t>39</w:t>
            </w:r>
            <w:proofErr w:type="gramStart"/>
            <w:r w:rsidR="00FD75D3">
              <w:t>B(</w:t>
            </w:r>
            <w:proofErr w:type="gramEnd"/>
            <w:r w:rsidR="00FD75D3">
              <w:t xml:space="preserve">1) – </w:t>
            </w:r>
            <w:r w:rsidR="00696196">
              <w:t xml:space="preserve">where primary judge </w:t>
            </w:r>
            <w:r w:rsidR="00FD75D3">
              <w:t>held</w:t>
            </w:r>
            <w:r w:rsidR="00696196">
              <w:t xml:space="preserve"> </w:t>
            </w:r>
            <w:r w:rsidR="0056423A">
              <w:t xml:space="preserve">that regs 14 and 15 when read down were not inconsistent with the principles established by Ch III of the </w:t>
            </w:r>
            <w:r w:rsidR="0056423A" w:rsidRPr="00C20FF2">
              <w:rPr>
                <w:i/>
                <w:iCs/>
              </w:rPr>
              <w:t>Constitution</w:t>
            </w:r>
            <w:r w:rsidR="0056423A">
              <w:t xml:space="preserve"> </w:t>
            </w:r>
            <w:r w:rsidR="004D0580">
              <w:t>– whether primary judge erred – no error in primary judge’s conclusions</w:t>
            </w:r>
          </w:p>
          <w:p w14:paraId="65290E1E" w14:textId="77777777" w:rsidR="00E919F6" w:rsidRPr="00087CA8" w:rsidRDefault="00E919F6" w:rsidP="00663878">
            <w:pPr>
              <w:pStyle w:val="Normal1linespace"/>
              <w:widowControl w:val="0"/>
              <w:jc w:val="left"/>
            </w:pPr>
          </w:p>
          <w:p w14:paraId="35EB71D5" w14:textId="289B9D31" w:rsidR="003514BE" w:rsidRPr="00B665F0" w:rsidRDefault="00E919F6" w:rsidP="00663878">
            <w:pPr>
              <w:pStyle w:val="Normal1linespace"/>
              <w:widowControl w:val="0"/>
              <w:jc w:val="left"/>
            </w:pPr>
            <w:r>
              <w:rPr>
                <w:b/>
                <w:bCs/>
              </w:rPr>
              <w:t>ADMINISTRATIVE LAW</w:t>
            </w:r>
            <w:r w:rsidRPr="001D2CA2">
              <w:t xml:space="preserve"> –</w:t>
            </w:r>
            <w:r>
              <w:t xml:space="preserve"> </w:t>
            </w:r>
            <w:r w:rsidR="009D3C9C">
              <w:t xml:space="preserve">judicial review of Instruments made by the Minister designating and declaring the </w:t>
            </w:r>
            <w:r w:rsidR="0064303B">
              <w:t xml:space="preserve">appellant </w:t>
            </w:r>
            <w:r w:rsidR="009D3C9C">
              <w:t xml:space="preserve">pursuant to </w:t>
            </w:r>
            <w:r w:rsidR="00667504">
              <w:t>reg 6</w:t>
            </w:r>
            <w:r w:rsidR="004E51E2">
              <w:t>(a) and (b)</w:t>
            </w:r>
            <w:r w:rsidR="00667504">
              <w:t xml:space="preserve"> of the Regulations – </w:t>
            </w:r>
            <w:r w:rsidR="00B32FEF">
              <w:t>where primary judge held</w:t>
            </w:r>
            <w:r w:rsidR="003D6AA3">
              <w:t xml:space="preserve"> that</w:t>
            </w:r>
            <w:r w:rsidR="00B32FEF">
              <w:t xml:space="preserve"> </w:t>
            </w:r>
            <w:r w:rsidR="007C3FF0">
              <w:t xml:space="preserve">the </w:t>
            </w:r>
            <w:r w:rsidR="007C3FF0" w:rsidRPr="004704C1">
              <w:t>Minister</w:t>
            </w:r>
            <w:r w:rsidR="007C3FF0">
              <w:t xml:space="preserve"> </w:t>
            </w:r>
            <w:r w:rsidR="00667504">
              <w:t>did not</w:t>
            </w:r>
            <w:r w:rsidR="007C3FF0">
              <w:t xml:space="preserve"> misapprehend her power </w:t>
            </w:r>
            <w:r w:rsidR="00957569">
              <w:t xml:space="preserve">when purporting to designate and declare the </w:t>
            </w:r>
            <w:r w:rsidR="00CB30BD">
              <w:t>appellant</w:t>
            </w:r>
            <w:r w:rsidR="00957569">
              <w:t xml:space="preserve"> </w:t>
            </w:r>
            <w:r w:rsidR="003514BE">
              <w:t>–</w:t>
            </w:r>
            <w:r w:rsidR="00B14762">
              <w:t xml:space="preserve"> </w:t>
            </w:r>
            <w:r w:rsidR="00B3629C">
              <w:rPr>
                <w:szCs w:val="24"/>
              </w:rPr>
              <w:t>whether</w:t>
            </w:r>
            <w:r w:rsidR="00CB30BD">
              <w:rPr>
                <w:szCs w:val="24"/>
              </w:rPr>
              <w:t xml:space="preserve"> the primary judge erred</w:t>
            </w:r>
            <w:r w:rsidR="00F66618">
              <w:rPr>
                <w:szCs w:val="24"/>
              </w:rPr>
              <w:t xml:space="preserve"> – </w:t>
            </w:r>
            <w:r w:rsidR="00F66618">
              <w:t xml:space="preserve">no error in primary judge’s conclusions demonstrated </w:t>
            </w:r>
            <w:r w:rsidR="00CA0CF2">
              <w:rPr>
                <w:szCs w:val="24"/>
              </w:rPr>
              <w:t xml:space="preserve">– </w:t>
            </w:r>
            <w:r w:rsidR="00F66618">
              <w:rPr>
                <w:szCs w:val="24"/>
              </w:rPr>
              <w:t xml:space="preserve">Minister’s </w:t>
            </w:r>
            <w:r w:rsidR="009D5ABE">
              <w:rPr>
                <w:szCs w:val="24"/>
              </w:rPr>
              <w:t xml:space="preserve">decision </w:t>
            </w:r>
            <w:r w:rsidR="00F66618">
              <w:rPr>
                <w:szCs w:val="24"/>
              </w:rPr>
              <w:t>would nonetheless be valid</w:t>
            </w:r>
            <w:r w:rsidR="00B14762" w:rsidRPr="005562AE">
              <w:rPr>
                <w:szCs w:val="24"/>
              </w:rPr>
              <w:t xml:space="preserve"> by reason of </w:t>
            </w:r>
            <w:r w:rsidR="001430CF">
              <w:rPr>
                <w:szCs w:val="24"/>
              </w:rPr>
              <w:t>i</w:t>
            </w:r>
            <w:r w:rsidR="00B14762" w:rsidRPr="005562AE">
              <w:rPr>
                <w:szCs w:val="24"/>
              </w:rPr>
              <w:t xml:space="preserve">tem 5 of Sch 1 of the </w:t>
            </w:r>
            <w:r w:rsidR="00B14762" w:rsidRPr="0083283B">
              <w:rPr>
                <w:i/>
                <w:iCs/>
                <w:szCs w:val="24"/>
              </w:rPr>
              <w:t xml:space="preserve">Autonomous Sanctions Amendment Act 2024 </w:t>
            </w:r>
            <w:r w:rsidR="00B14762" w:rsidRPr="0083283B">
              <w:rPr>
                <w:szCs w:val="24"/>
              </w:rPr>
              <w:t>(Cth)</w:t>
            </w:r>
            <w:bookmarkEnd w:id="3"/>
          </w:p>
        </w:tc>
      </w:tr>
      <w:tr w:rsidR="00395B24" w14:paraId="23CC4336" w14:textId="77777777" w:rsidTr="00276A43">
        <w:tc>
          <w:tcPr>
            <w:tcW w:w="3082" w:type="dxa"/>
            <w:shd w:val="clear" w:color="auto" w:fill="auto"/>
          </w:tcPr>
          <w:p w14:paraId="14E876A7" w14:textId="77777777" w:rsidR="00395B24" w:rsidRDefault="00395B24" w:rsidP="00663878">
            <w:pPr>
              <w:pStyle w:val="Normal1linespace"/>
              <w:widowControl w:val="0"/>
              <w:jc w:val="left"/>
            </w:pPr>
          </w:p>
        </w:tc>
        <w:tc>
          <w:tcPr>
            <w:tcW w:w="5989" w:type="dxa"/>
            <w:shd w:val="clear" w:color="auto" w:fill="auto"/>
          </w:tcPr>
          <w:p w14:paraId="351C8FFA" w14:textId="77777777" w:rsidR="00395B24" w:rsidRDefault="00395B24" w:rsidP="00663878">
            <w:pPr>
              <w:pStyle w:val="Normal1linespace"/>
              <w:widowControl w:val="0"/>
              <w:jc w:val="left"/>
            </w:pPr>
          </w:p>
        </w:tc>
      </w:tr>
      <w:tr w:rsidR="00395B24" w14:paraId="3A87B4C3" w14:textId="77777777" w:rsidTr="00276A43">
        <w:tc>
          <w:tcPr>
            <w:tcW w:w="3082" w:type="dxa"/>
            <w:shd w:val="clear" w:color="auto" w:fill="auto"/>
          </w:tcPr>
          <w:p w14:paraId="6E3B3CD7" w14:textId="77777777" w:rsidR="00395B24" w:rsidRDefault="002C7385" w:rsidP="00663878">
            <w:pPr>
              <w:pStyle w:val="Normal1linespace"/>
              <w:widowControl w:val="0"/>
              <w:jc w:val="left"/>
            </w:pPr>
            <w:r>
              <w:t>Legislation:</w:t>
            </w:r>
          </w:p>
        </w:tc>
        <w:tc>
          <w:tcPr>
            <w:tcW w:w="5989" w:type="dxa"/>
            <w:shd w:val="clear" w:color="auto" w:fill="auto"/>
          </w:tcPr>
          <w:p w14:paraId="649884A4" w14:textId="6FAAE376" w:rsidR="00F92C2E" w:rsidRDefault="00F92C2E" w:rsidP="0083283B">
            <w:pPr>
              <w:pStyle w:val="CasesLegislationAppealFrom"/>
              <w:spacing w:after="60"/>
            </w:pPr>
            <w:bookmarkStart w:id="4" w:name="Legislation"/>
            <w:r w:rsidRPr="001D2CA2">
              <w:rPr>
                <w:i/>
                <w:iCs/>
              </w:rPr>
              <w:t>Constitution</w:t>
            </w:r>
            <w:r w:rsidRPr="00357EE8">
              <w:rPr>
                <w:i/>
                <w:iCs/>
              </w:rPr>
              <w:t xml:space="preserve"> </w:t>
            </w:r>
            <w:r w:rsidRPr="00357EE8">
              <w:t>s</w:t>
            </w:r>
            <w:r w:rsidR="001430CF">
              <w:t>s</w:t>
            </w:r>
            <w:r w:rsidRPr="00357EE8">
              <w:t xml:space="preserve"> 75</w:t>
            </w:r>
            <w:r w:rsidR="00A87E53">
              <w:t xml:space="preserve">(iii), </w:t>
            </w:r>
            <w:r w:rsidRPr="00357EE8">
              <w:t>(v)</w:t>
            </w:r>
          </w:p>
          <w:p w14:paraId="3B701E0E" w14:textId="65DAD6E7" w:rsidR="003D064F" w:rsidRPr="00357EE8" w:rsidRDefault="00F92C2E" w:rsidP="003D064F">
            <w:pPr>
              <w:pStyle w:val="CasesLegislationAppealFrom"/>
              <w:spacing w:after="60"/>
            </w:pPr>
            <w:r w:rsidRPr="00087CA8">
              <w:rPr>
                <w:i/>
                <w:iCs/>
              </w:rPr>
              <w:t>Acts Interpretation Act</w:t>
            </w:r>
            <w:r w:rsidRPr="00357EE8">
              <w:rPr>
                <w:i/>
                <w:iCs/>
              </w:rPr>
              <w:t xml:space="preserve"> 1901 </w:t>
            </w:r>
            <w:r w:rsidRPr="00357EE8">
              <w:t>(Cth) s</w:t>
            </w:r>
            <w:r w:rsidR="00FC0338">
              <w:t>s</w:t>
            </w:r>
            <w:r w:rsidRPr="00357EE8">
              <w:t xml:space="preserve"> 15A</w:t>
            </w:r>
            <w:r w:rsidR="00C524DF">
              <w:t>, 15AA</w:t>
            </w:r>
          </w:p>
          <w:p w14:paraId="58DFF1CF" w14:textId="714AB37B" w:rsidR="003D064F" w:rsidRDefault="003D064F" w:rsidP="003D064F">
            <w:pPr>
              <w:pStyle w:val="CasesLegislationAppealFrom"/>
              <w:spacing w:after="60"/>
            </w:pPr>
            <w:r w:rsidRPr="001D2CA2">
              <w:rPr>
                <w:i/>
                <w:iCs/>
              </w:rPr>
              <w:t xml:space="preserve">Autonomous Sanctions Act 2011 </w:t>
            </w:r>
            <w:r w:rsidRPr="001D2CA2">
              <w:t>(Cth)</w:t>
            </w:r>
            <w:r w:rsidRPr="00357EE8">
              <w:t xml:space="preserve"> s</w:t>
            </w:r>
            <w:r w:rsidR="00685802">
              <w:t>s</w:t>
            </w:r>
            <w:r w:rsidRPr="00357EE8">
              <w:t xml:space="preserve"> 3(1)</w:t>
            </w:r>
            <w:proofErr w:type="gramStart"/>
            <w:r w:rsidRPr="00357EE8">
              <w:t>–(</w:t>
            </w:r>
            <w:proofErr w:type="gramEnd"/>
            <w:r w:rsidRPr="00357EE8">
              <w:t>3), 4, 6(1), 9, 10, 12, 14, 16</w:t>
            </w:r>
          </w:p>
          <w:p w14:paraId="66966FE4" w14:textId="77501A57" w:rsidR="001430CF" w:rsidRDefault="001430CF" w:rsidP="003D064F">
            <w:pPr>
              <w:pStyle w:val="CasesLegislationAppealFrom"/>
              <w:spacing w:after="60"/>
            </w:pPr>
            <w:r w:rsidRPr="00357EE8">
              <w:rPr>
                <w:i/>
                <w:iCs/>
                <w:szCs w:val="24"/>
              </w:rPr>
              <w:lastRenderedPageBreak/>
              <w:t xml:space="preserve">Autonomous Sanctions Amendment </w:t>
            </w:r>
            <w:r>
              <w:rPr>
                <w:i/>
                <w:iCs/>
                <w:szCs w:val="24"/>
              </w:rPr>
              <w:t>Act</w:t>
            </w:r>
            <w:r w:rsidRPr="00357EE8">
              <w:rPr>
                <w:i/>
                <w:iCs/>
                <w:szCs w:val="24"/>
              </w:rPr>
              <w:t xml:space="preserve"> 2024 </w:t>
            </w:r>
            <w:r w:rsidRPr="00357EE8">
              <w:rPr>
                <w:szCs w:val="24"/>
              </w:rPr>
              <w:t>(Cth)</w:t>
            </w:r>
            <w:r>
              <w:rPr>
                <w:szCs w:val="24"/>
              </w:rPr>
              <w:t xml:space="preserve"> </w:t>
            </w:r>
            <w:r w:rsidR="00FC0338">
              <w:rPr>
                <w:szCs w:val="24"/>
              </w:rPr>
              <w:t xml:space="preserve">Sch 1 </w:t>
            </w:r>
            <w:r>
              <w:rPr>
                <w:szCs w:val="24"/>
              </w:rPr>
              <w:t>item 5</w:t>
            </w:r>
          </w:p>
          <w:p w14:paraId="7D4EAD09" w14:textId="4D743A00" w:rsidR="003D064F" w:rsidRPr="0083283B" w:rsidRDefault="003D064F" w:rsidP="003D064F">
            <w:pPr>
              <w:pStyle w:val="CasesLegislationAppealFrom"/>
              <w:spacing w:after="60"/>
            </w:pPr>
            <w:r w:rsidRPr="001D2CA2">
              <w:rPr>
                <w:i/>
                <w:iCs/>
              </w:rPr>
              <w:t xml:space="preserve">Federal Court </w:t>
            </w:r>
            <w:r w:rsidR="00FC0338">
              <w:rPr>
                <w:i/>
                <w:iCs/>
              </w:rPr>
              <w:t xml:space="preserve">of Australia </w:t>
            </w:r>
            <w:r w:rsidRPr="001D2CA2">
              <w:rPr>
                <w:i/>
                <w:iCs/>
              </w:rPr>
              <w:t>Act</w:t>
            </w:r>
            <w:r w:rsidRPr="001D2CA2">
              <w:t xml:space="preserve"> </w:t>
            </w:r>
            <w:r w:rsidRPr="001D2CA2">
              <w:rPr>
                <w:i/>
                <w:iCs/>
              </w:rPr>
              <w:t>197</w:t>
            </w:r>
            <w:r w:rsidR="00BF7359">
              <w:rPr>
                <w:i/>
                <w:iCs/>
              </w:rPr>
              <w:t>6</w:t>
            </w:r>
            <w:r w:rsidRPr="001D2CA2">
              <w:rPr>
                <w:i/>
                <w:iCs/>
              </w:rPr>
              <w:t xml:space="preserve"> </w:t>
            </w:r>
            <w:r w:rsidRPr="001D2CA2">
              <w:t>(Cth</w:t>
            </w:r>
            <w:r w:rsidRPr="00357EE8">
              <w:t>) s 43</w:t>
            </w:r>
          </w:p>
          <w:p w14:paraId="4E513911" w14:textId="77777777" w:rsidR="003D064F" w:rsidRDefault="003D064F" w:rsidP="003D064F">
            <w:pPr>
              <w:pStyle w:val="CasesLegislationAppealFrom"/>
              <w:spacing w:after="60"/>
            </w:pPr>
            <w:r w:rsidRPr="001D2CA2">
              <w:rPr>
                <w:i/>
                <w:iCs/>
              </w:rPr>
              <w:t>Judiciary Act 1903</w:t>
            </w:r>
            <w:r w:rsidRPr="001D2CA2">
              <w:t xml:space="preserve"> (Cth)</w:t>
            </w:r>
            <w:r w:rsidRPr="00357EE8">
              <w:t xml:space="preserve"> s 39</w:t>
            </w:r>
            <w:proofErr w:type="gramStart"/>
            <w:r w:rsidRPr="00357EE8">
              <w:t>B(</w:t>
            </w:r>
            <w:proofErr w:type="gramEnd"/>
            <w:r w:rsidRPr="00357EE8">
              <w:t>1)</w:t>
            </w:r>
          </w:p>
          <w:p w14:paraId="06A48B4E" w14:textId="296AA0FC" w:rsidR="00F92C2E" w:rsidRPr="00357EE8" w:rsidRDefault="003D064F" w:rsidP="0083283B">
            <w:pPr>
              <w:pStyle w:val="CasesLegislationAppealFrom"/>
              <w:spacing w:after="60"/>
            </w:pPr>
            <w:r w:rsidRPr="001D2CA2">
              <w:rPr>
                <w:i/>
                <w:iCs/>
              </w:rPr>
              <w:t>Legislation Act</w:t>
            </w:r>
            <w:r w:rsidRPr="0083283B">
              <w:rPr>
                <w:i/>
                <w:iCs/>
              </w:rPr>
              <w:t xml:space="preserve"> 2003 </w:t>
            </w:r>
            <w:r w:rsidRPr="0083283B">
              <w:t>(Cth)</w:t>
            </w:r>
            <w:r w:rsidRPr="00A75184">
              <w:t xml:space="preserve"> </w:t>
            </w:r>
            <w:r>
              <w:t>s</w:t>
            </w:r>
            <w:r w:rsidRPr="0083283B">
              <w:t xml:space="preserve"> 13(2)</w:t>
            </w:r>
          </w:p>
          <w:p w14:paraId="576A1182" w14:textId="5FB6DF87" w:rsidR="00774110" w:rsidRDefault="00774110" w:rsidP="00774110">
            <w:pPr>
              <w:pStyle w:val="CasesLegislationAppealFrom"/>
              <w:spacing w:after="60"/>
              <w:rPr>
                <w:szCs w:val="24"/>
              </w:rPr>
            </w:pPr>
          </w:p>
          <w:p w14:paraId="5905B52A" w14:textId="77777777" w:rsidR="00E3242B" w:rsidRDefault="00E3242B" w:rsidP="00E3242B">
            <w:pPr>
              <w:pStyle w:val="CasesLegislationAppealFrom"/>
              <w:spacing w:after="60"/>
            </w:pPr>
            <w:r w:rsidRPr="001D2CA2">
              <w:rPr>
                <w:i/>
                <w:iCs/>
              </w:rPr>
              <w:t xml:space="preserve">Autonomous Sanctions Regulations 2011 </w:t>
            </w:r>
            <w:r w:rsidRPr="001D2CA2">
              <w:t>(Cth)</w:t>
            </w:r>
            <w:r w:rsidRPr="00357EE8" w:rsidDel="0083283B">
              <w:t xml:space="preserve"> </w:t>
            </w:r>
            <w:r w:rsidRPr="00357EE8">
              <w:t>reg</w:t>
            </w:r>
            <w:r>
              <w:t>s</w:t>
            </w:r>
            <w:r w:rsidRPr="00357EE8">
              <w:t xml:space="preserve"> 3, 6, 9(1)</w:t>
            </w:r>
            <w:proofErr w:type="gramStart"/>
            <w:r w:rsidRPr="00357EE8">
              <w:t>–(</w:t>
            </w:r>
            <w:proofErr w:type="gramEnd"/>
            <w:r w:rsidRPr="00357EE8">
              <w:t>3), 14, 15, 18</w:t>
            </w:r>
          </w:p>
          <w:p w14:paraId="4B03F23C" w14:textId="77777777" w:rsidR="00E3242B" w:rsidRPr="00357EE8" w:rsidRDefault="00E3242B" w:rsidP="00E3242B">
            <w:pPr>
              <w:pStyle w:val="CasesLegislationAppealFrom"/>
              <w:spacing w:after="60"/>
            </w:pPr>
            <w:r w:rsidRPr="001D2CA2">
              <w:rPr>
                <w:i/>
                <w:iCs/>
              </w:rPr>
              <w:t xml:space="preserve">Autonomous Sanctions Amendment (Russia) Regulations 2022 </w:t>
            </w:r>
            <w:r w:rsidRPr="001D2CA2">
              <w:t>(Cth)</w:t>
            </w:r>
          </w:p>
          <w:p w14:paraId="2B475A55" w14:textId="7170C9CD" w:rsidR="00E3242B" w:rsidRDefault="00E3242B" w:rsidP="00E3242B">
            <w:pPr>
              <w:pStyle w:val="CasesLegislationAppealFrom"/>
              <w:spacing w:after="60"/>
            </w:pPr>
            <w:r w:rsidRPr="001D2CA2">
              <w:rPr>
                <w:i/>
                <w:iCs/>
              </w:rPr>
              <w:t>Migration Regulations 1994</w:t>
            </w:r>
            <w:r w:rsidRPr="001D2CA2">
              <w:t xml:space="preserve"> (Cth)</w:t>
            </w:r>
            <w:r w:rsidRPr="00357EE8">
              <w:t xml:space="preserve"> </w:t>
            </w:r>
            <w:r w:rsidRPr="001D2CA2">
              <w:t>reg 2.43(</w:t>
            </w:r>
            <w:proofErr w:type="gramStart"/>
            <w:r w:rsidRPr="001D2CA2">
              <w:t>1)(</w:t>
            </w:r>
            <w:proofErr w:type="gramEnd"/>
            <w:r w:rsidRPr="001D2CA2">
              <w:t>aa)(</w:t>
            </w:r>
            <w:proofErr w:type="spellStart"/>
            <w:r w:rsidRPr="001D2CA2">
              <w:t>i</w:t>
            </w:r>
            <w:proofErr w:type="spellEnd"/>
            <w:r w:rsidRPr="001D2CA2">
              <w:t>)</w:t>
            </w:r>
          </w:p>
          <w:p w14:paraId="6A4763BE" w14:textId="77777777" w:rsidR="00E3242B" w:rsidRPr="00087CA8" w:rsidRDefault="00E3242B" w:rsidP="00E3242B">
            <w:pPr>
              <w:pStyle w:val="CasesLegislationAppealFrom"/>
              <w:spacing w:after="60"/>
              <w:rPr>
                <w:i/>
                <w:iCs/>
              </w:rPr>
            </w:pPr>
          </w:p>
          <w:p w14:paraId="1B2E8B36" w14:textId="09E51331" w:rsidR="00774110" w:rsidRPr="00357EE8" w:rsidRDefault="00774110" w:rsidP="00774110">
            <w:pPr>
              <w:pStyle w:val="CasesLegislationAppealFrom"/>
              <w:spacing w:after="60"/>
            </w:pPr>
            <w:r w:rsidRPr="00357EE8">
              <w:rPr>
                <w:i/>
                <w:iCs/>
              </w:rPr>
              <w:t xml:space="preserve">Autonomous Sanctions (Designated Persons and Entities and Declared Persons – Ukraine) Amendment (No 4) Instrument 2022 </w:t>
            </w:r>
            <w:r w:rsidRPr="00357EE8">
              <w:t>(Cth)</w:t>
            </w:r>
          </w:p>
          <w:p w14:paraId="1D1F65C9" w14:textId="341DF2E1" w:rsidR="00D7504E" w:rsidRDefault="00774110" w:rsidP="00774110">
            <w:pPr>
              <w:pStyle w:val="CasesLegislationAppealFrom"/>
              <w:spacing w:after="60"/>
            </w:pPr>
            <w:r w:rsidRPr="001D2CA2">
              <w:rPr>
                <w:i/>
                <w:iCs/>
              </w:rPr>
              <w:t xml:space="preserve">Autonomous Sanctions (Designated Persons and Entities and Declared Persons </w:t>
            </w:r>
            <w:r w:rsidR="00FC0338" w:rsidRPr="00357EE8">
              <w:rPr>
                <w:i/>
                <w:iCs/>
              </w:rPr>
              <w:t>–</w:t>
            </w:r>
            <w:r w:rsidRPr="001D2CA2">
              <w:rPr>
                <w:i/>
                <w:iCs/>
              </w:rPr>
              <w:t xml:space="preserve"> Russia and Ukraine) Amendment (No 7) Instrument 2022 </w:t>
            </w:r>
            <w:r w:rsidRPr="001D2CA2">
              <w:t>(Cth)</w:t>
            </w:r>
          </w:p>
          <w:p w14:paraId="2FEDF1E6" w14:textId="0B5F37E7" w:rsidR="00CB3594" w:rsidRDefault="00CB3594" w:rsidP="00774110">
            <w:pPr>
              <w:pStyle w:val="CasesLegislationAppealFrom"/>
              <w:spacing w:after="60"/>
            </w:pPr>
            <w:r w:rsidRPr="00357EE8">
              <w:rPr>
                <w:i/>
                <w:iCs/>
              </w:rPr>
              <w:t>Autonomous Sanctions (Designated Persons and Entities and Declared Persons – Russia and Ukraine) List 2014</w:t>
            </w:r>
            <w:r w:rsidRPr="00357EE8">
              <w:t xml:space="preserve"> (Cth)</w:t>
            </w:r>
          </w:p>
          <w:p w14:paraId="6768F4EA" w14:textId="734A53E5" w:rsidR="00D7504E" w:rsidRDefault="00CB3594" w:rsidP="00D7504E">
            <w:pPr>
              <w:pStyle w:val="CasesLegislationAppealFrom"/>
              <w:spacing w:after="60"/>
            </w:pPr>
            <w:r w:rsidRPr="00C20FF2">
              <w:rPr>
                <w:i/>
                <w:iCs/>
              </w:rPr>
              <w:t xml:space="preserve">Autonomous Sanctions (Sanction Law) Declaration 2012 </w:t>
            </w:r>
            <w:r w:rsidRPr="00C20FF2">
              <w:t>(Cth)</w:t>
            </w:r>
          </w:p>
          <w:p w14:paraId="7199F638" w14:textId="41FC48EC" w:rsidR="0083283B" w:rsidRPr="0083283B" w:rsidRDefault="00021CAC" w:rsidP="00774110">
            <w:pPr>
              <w:pStyle w:val="CasesLegislationAppealFrom"/>
              <w:spacing w:after="60"/>
            </w:pPr>
            <w:r>
              <w:rPr>
                <w:szCs w:val="24"/>
              </w:rPr>
              <w:t xml:space="preserve">Explanatory Memorandum, </w:t>
            </w:r>
            <w:r w:rsidRPr="00A67C4D">
              <w:rPr>
                <w:i/>
                <w:iCs/>
                <w:szCs w:val="24"/>
              </w:rPr>
              <w:t>Autonomous Sanctions Amendment Bill 2024</w:t>
            </w:r>
            <w:r>
              <w:rPr>
                <w:szCs w:val="24"/>
              </w:rPr>
              <w:t xml:space="preserve"> (Cth)</w:t>
            </w:r>
            <w:bookmarkEnd w:id="4"/>
          </w:p>
        </w:tc>
      </w:tr>
      <w:tr w:rsidR="00395B24" w14:paraId="03A22CEC" w14:textId="77777777" w:rsidTr="00276A43">
        <w:tc>
          <w:tcPr>
            <w:tcW w:w="3082" w:type="dxa"/>
            <w:shd w:val="clear" w:color="auto" w:fill="auto"/>
          </w:tcPr>
          <w:p w14:paraId="032E5E68" w14:textId="77777777" w:rsidR="00395B24" w:rsidRDefault="00395B24" w:rsidP="00663878">
            <w:pPr>
              <w:pStyle w:val="Normal1linespace"/>
              <w:widowControl w:val="0"/>
              <w:jc w:val="left"/>
            </w:pPr>
          </w:p>
        </w:tc>
        <w:tc>
          <w:tcPr>
            <w:tcW w:w="5989" w:type="dxa"/>
            <w:shd w:val="clear" w:color="auto" w:fill="auto"/>
          </w:tcPr>
          <w:p w14:paraId="24E86CC9" w14:textId="77777777" w:rsidR="00395B24" w:rsidRDefault="00395B24" w:rsidP="00663878">
            <w:pPr>
              <w:pStyle w:val="Normal1linespace"/>
              <w:widowControl w:val="0"/>
              <w:jc w:val="left"/>
            </w:pPr>
          </w:p>
        </w:tc>
      </w:tr>
      <w:tr w:rsidR="00395B24" w14:paraId="63CFEAFC" w14:textId="77777777" w:rsidTr="00276A43">
        <w:tc>
          <w:tcPr>
            <w:tcW w:w="3082" w:type="dxa"/>
            <w:shd w:val="clear" w:color="auto" w:fill="auto"/>
          </w:tcPr>
          <w:p w14:paraId="7FA2124D" w14:textId="77777777" w:rsidR="00395B24" w:rsidRDefault="002C7385" w:rsidP="00663878">
            <w:pPr>
              <w:pStyle w:val="Normal1linespace"/>
              <w:widowControl w:val="0"/>
              <w:jc w:val="left"/>
            </w:pPr>
            <w:r>
              <w:t>Cases cited:</w:t>
            </w:r>
          </w:p>
        </w:tc>
        <w:tc>
          <w:tcPr>
            <w:tcW w:w="5989" w:type="dxa"/>
            <w:shd w:val="clear" w:color="auto" w:fill="auto"/>
          </w:tcPr>
          <w:p w14:paraId="2978166D" w14:textId="77777777" w:rsidR="00884367" w:rsidRPr="00AA41DE" w:rsidRDefault="00884367" w:rsidP="0083283B">
            <w:pPr>
              <w:pStyle w:val="CasesLegislationAppealFrom"/>
              <w:spacing w:after="60"/>
            </w:pPr>
            <w:bookmarkStart w:id="5" w:name="Cases_Cited"/>
            <w:r w:rsidRPr="00087CA8">
              <w:rPr>
                <w:i/>
                <w:iCs/>
              </w:rPr>
              <w:t xml:space="preserve">Abramov v Minister for Foreign Affairs (No 2) </w:t>
            </w:r>
            <w:r w:rsidRPr="00087CA8">
              <w:t>[2023] FCA 1099</w:t>
            </w:r>
          </w:p>
          <w:p w14:paraId="7F01226B" w14:textId="77777777" w:rsidR="00884367" w:rsidRPr="0083283B" w:rsidRDefault="00884367" w:rsidP="0083283B">
            <w:pPr>
              <w:pStyle w:val="CasesLegislationAppealFrom"/>
              <w:spacing w:after="60"/>
            </w:pPr>
            <w:r w:rsidRPr="00087CA8">
              <w:rPr>
                <w:i/>
                <w:iCs/>
              </w:rPr>
              <w:t>APLA Ltd v Legal Services Commissione</w:t>
            </w:r>
            <w:r w:rsidRPr="003B1F99">
              <w:rPr>
                <w:i/>
                <w:iCs/>
              </w:rPr>
              <w:t>r</w:t>
            </w:r>
            <w:r w:rsidRPr="00A67C4D">
              <w:rPr>
                <w:i/>
                <w:iCs/>
              </w:rPr>
              <w:t xml:space="preserve"> (</w:t>
            </w:r>
            <w:r w:rsidRPr="00A67C4D">
              <w:rPr>
                <w:i/>
                <w:iCs/>
                <w:szCs w:val="24"/>
              </w:rPr>
              <w:t>NSW</w:t>
            </w:r>
            <w:r w:rsidRPr="00A67C4D">
              <w:rPr>
                <w:i/>
                <w:iCs/>
              </w:rPr>
              <w:t>)</w:t>
            </w:r>
            <w:r w:rsidRPr="00087CA8">
              <w:t xml:space="preserve"> (2005) 224 CLR 322; [2005] HCA 44</w:t>
            </w:r>
          </w:p>
          <w:p w14:paraId="6992665E" w14:textId="77777777" w:rsidR="00884367" w:rsidRPr="0083283B" w:rsidRDefault="00884367" w:rsidP="0083283B">
            <w:pPr>
              <w:pStyle w:val="CasesLegislationAppealFrom"/>
              <w:spacing w:after="60"/>
            </w:pPr>
            <w:r w:rsidRPr="00087CA8">
              <w:rPr>
                <w:i/>
                <w:iCs/>
              </w:rPr>
              <w:t xml:space="preserve">Australian Coarse Grains Pool Pty Ltd v Barley Marketing Board </w:t>
            </w:r>
            <w:r w:rsidRPr="00087CA8">
              <w:t>(1985) 157 CLR 605; [1985] HCA 38</w:t>
            </w:r>
          </w:p>
          <w:p w14:paraId="306E1BF6" w14:textId="77777777" w:rsidR="00884367" w:rsidRPr="00AA41DE" w:rsidRDefault="00884367" w:rsidP="0083283B">
            <w:pPr>
              <w:pStyle w:val="CasesLegislationAppealFrom"/>
              <w:spacing w:after="60"/>
              <w:rPr>
                <w:szCs w:val="24"/>
              </w:rPr>
            </w:pPr>
            <w:r w:rsidRPr="00087CA8">
              <w:rPr>
                <w:i/>
                <w:iCs/>
                <w:szCs w:val="24"/>
              </w:rPr>
              <w:t xml:space="preserve">Australian Education Union v General Manager, Fair Work Australia </w:t>
            </w:r>
            <w:r w:rsidRPr="00087CA8">
              <w:rPr>
                <w:szCs w:val="24"/>
              </w:rPr>
              <w:t>(2012) 246 CLR 117; [2012] HCA 19</w:t>
            </w:r>
          </w:p>
          <w:p w14:paraId="0B3370DB" w14:textId="578F5A58" w:rsidR="00884367" w:rsidRPr="00AA41DE" w:rsidRDefault="00884367" w:rsidP="0083283B">
            <w:pPr>
              <w:pStyle w:val="CasesLegislationAppealFrom"/>
              <w:spacing w:after="60"/>
            </w:pPr>
            <w:r w:rsidRPr="00087CA8">
              <w:rPr>
                <w:i/>
                <w:iCs/>
              </w:rPr>
              <w:t>Australian Securities and Investments Commission v BHF Solutions Pty Ltd</w:t>
            </w:r>
            <w:r w:rsidRPr="00087CA8">
              <w:t xml:space="preserve"> </w:t>
            </w:r>
            <w:r w:rsidR="00BD7548">
              <w:t xml:space="preserve">(2021) 153 ACSR 469; </w:t>
            </w:r>
            <w:r w:rsidRPr="00087CA8">
              <w:t>[2021] FCA 684</w:t>
            </w:r>
          </w:p>
          <w:p w14:paraId="4F7D35C8" w14:textId="77777777" w:rsidR="00884367" w:rsidRPr="00AA41DE" w:rsidRDefault="00884367" w:rsidP="0083283B">
            <w:pPr>
              <w:pStyle w:val="CasesLegislationAppealFrom"/>
              <w:spacing w:after="60"/>
            </w:pPr>
            <w:r w:rsidRPr="00087CA8">
              <w:rPr>
                <w:i/>
                <w:iCs/>
              </w:rPr>
              <w:t xml:space="preserve">Automotive Invest Pty Limited v Commissioner of Taxation </w:t>
            </w:r>
            <w:r w:rsidRPr="00087CA8">
              <w:t>(2024) 98 ALJR 1245; [2024] HCA 36</w:t>
            </w:r>
          </w:p>
          <w:p w14:paraId="11852AA7" w14:textId="44AE6B21" w:rsidR="00884367" w:rsidRPr="00AA41DE" w:rsidRDefault="00884367" w:rsidP="0083283B">
            <w:pPr>
              <w:pStyle w:val="CasesLegislationAppealFrom"/>
              <w:spacing w:after="60"/>
            </w:pPr>
            <w:r w:rsidRPr="00087CA8">
              <w:rPr>
                <w:i/>
                <w:iCs/>
              </w:rPr>
              <w:t xml:space="preserve">BHP Group Ltd v </w:t>
            </w:r>
            <w:proofErr w:type="spellStart"/>
            <w:r w:rsidRPr="00087CA8">
              <w:rPr>
                <w:i/>
                <w:iCs/>
              </w:rPr>
              <w:t>Impiombato</w:t>
            </w:r>
            <w:proofErr w:type="spellEnd"/>
            <w:r w:rsidRPr="00087CA8">
              <w:t xml:space="preserve"> (2022)</w:t>
            </w:r>
            <w:r w:rsidR="0008574D">
              <w:t xml:space="preserve"> 276 CLR 611</w:t>
            </w:r>
            <w:r w:rsidRPr="00087CA8">
              <w:t>; [2022] HCA 33</w:t>
            </w:r>
          </w:p>
          <w:p w14:paraId="3CC1F8D9" w14:textId="77777777" w:rsidR="00884367" w:rsidRPr="00AA41DE" w:rsidRDefault="00884367" w:rsidP="0083283B">
            <w:pPr>
              <w:pStyle w:val="CasesLegislationAppealFrom"/>
              <w:spacing w:after="60"/>
            </w:pPr>
            <w:r w:rsidRPr="00087CA8">
              <w:rPr>
                <w:i/>
                <w:iCs/>
              </w:rPr>
              <w:t xml:space="preserve">Bourke v State Bank of New South Wales </w:t>
            </w:r>
            <w:r w:rsidRPr="00087CA8">
              <w:t>(1990) 170 CLR 276; [1990] HCA 29</w:t>
            </w:r>
          </w:p>
          <w:p w14:paraId="78746ECD" w14:textId="77777777" w:rsidR="00884367" w:rsidRPr="00AA41DE" w:rsidRDefault="00884367" w:rsidP="0083283B">
            <w:pPr>
              <w:pStyle w:val="CasesLegislationAppealFrom"/>
              <w:spacing w:after="60"/>
            </w:pPr>
            <w:r w:rsidRPr="00087CA8">
              <w:rPr>
                <w:i/>
                <w:iCs/>
              </w:rPr>
              <w:t xml:space="preserve">Chetcuti v Minister for Immigration and Border Protection </w:t>
            </w:r>
            <w:r w:rsidRPr="00087CA8">
              <w:t>(2019) 270 FCR 335; [2019] FCAFC 112</w:t>
            </w:r>
          </w:p>
          <w:p w14:paraId="25CBA3BD" w14:textId="1DE7DAE7" w:rsidR="00884367" w:rsidRPr="00AA41DE" w:rsidRDefault="00884367" w:rsidP="0083283B">
            <w:pPr>
              <w:pStyle w:val="CasesLegislationAppealFrom"/>
              <w:spacing w:after="60"/>
            </w:pPr>
            <w:r w:rsidRPr="00087CA8">
              <w:rPr>
                <w:i/>
                <w:iCs/>
              </w:rPr>
              <w:t xml:space="preserve">Chu Kheng Lim v Minister for Immigration, Local </w:t>
            </w:r>
            <w:r w:rsidRPr="00087CA8">
              <w:rPr>
                <w:i/>
                <w:iCs/>
              </w:rPr>
              <w:lastRenderedPageBreak/>
              <w:t>Government and Ethnic Affairs</w:t>
            </w:r>
            <w:r w:rsidRPr="00087CA8">
              <w:t xml:space="preserve"> (1992) 176 CLR 1</w:t>
            </w:r>
            <w:r w:rsidR="00727915" w:rsidRPr="00AA41DE">
              <w:t xml:space="preserve">; </w:t>
            </w:r>
            <w:r w:rsidR="008E575A" w:rsidRPr="00AA41DE">
              <w:t>[1992] HCA 64</w:t>
            </w:r>
          </w:p>
          <w:p w14:paraId="1055477B" w14:textId="77777777" w:rsidR="00884367" w:rsidRPr="00AA41DE" w:rsidRDefault="00884367" w:rsidP="0083283B">
            <w:pPr>
              <w:pStyle w:val="CasesLegislationAppealFrom"/>
              <w:spacing w:after="60"/>
            </w:pPr>
            <w:r w:rsidRPr="00087CA8">
              <w:rPr>
                <w:i/>
                <w:iCs/>
              </w:rPr>
              <w:t xml:space="preserve">Claremont Petroleum NL v Cummings </w:t>
            </w:r>
            <w:r w:rsidRPr="00087CA8">
              <w:t>(1992) 110 ALR 239</w:t>
            </w:r>
          </w:p>
          <w:p w14:paraId="32A3E78A" w14:textId="77777777" w:rsidR="00884367" w:rsidRPr="00AA41DE" w:rsidRDefault="00884367" w:rsidP="0083283B">
            <w:pPr>
              <w:pStyle w:val="CasesLegislationAppealFrom"/>
              <w:spacing w:after="60"/>
            </w:pPr>
            <w:r w:rsidRPr="00087CA8">
              <w:rPr>
                <w:i/>
                <w:iCs/>
              </w:rPr>
              <w:t xml:space="preserve">Clubb v Edwards </w:t>
            </w:r>
            <w:r w:rsidRPr="00087CA8">
              <w:t>(2019) 267 CLR 171; [2019] HCA 11</w:t>
            </w:r>
          </w:p>
          <w:p w14:paraId="54F67944" w14:textId="77777777" w:rsidR="00884367" w:rsidRPr="00AA41DE" w:rsidRDefault="00884367" w:rsidP="0083283B">
            <w:pPr>
              <w:pStyle w:val="CasesLegislationAppealFrom"/>
              <w:spacing w:after="60"/>
            </w:pPr>
            <w:r w:rsidRPr="00087CA8">
              <w:rPr>
                <w:i/>
                <w:iCs/>
              </w:rPr>
              <w:t>CMU16 v Minister for Immigration and Border Protection</w:t>
            </w:r>
            <w:r w:rsidRPr="00087CA8">
              <w:t xml:space="preserve"> (2020) 277 FCR 201; [2020] FCAFC 104</w:t>
            </w:r>
          </w:p>
          <w:p w14:paraId="0E970145" w14:textId="7250BAB6" w:rsidR="00884367" w:rsidRPr="00AA41DE" w:rsidRDefault="00884367" w:rsidP="0083283B">
            <w:pPr>
              <w:pStyle w:val="CasesLegislationAppealFrom"/>
              <w:spacing w:after="60"/>
            </w:pPr>
            <w:r w:rsidRPr="00087CA8">
              <w:rPr>
                <w:i/>
                <w:iCs/>
              </w:rPr>
              <w:t xml:space="preserve">Davis v Minister for Immigration, Citizenship, Migrant Services and Multicultural Affairs </w:t>
            </w:r>
            <w:r w:rsidR="002A4EEE" w:rsidRPr="00F77893">
              <w:t>(2023) 279 CLR 1</w:t>
            </w:r>
            <w:r w:rsidRPr="00087CA8">
              <w:t>; [2023] HCA 10</w:t>
            </w:r>
          </w:p>
          <w:p w14:paraId="52186631" w14:textId="6C7EC1A9" w:rsidR="00884367" w:rsidRPr="00AA41DE" w:rsidRDefault="00884367" w:rsidP="0083283B">
            <w:pPr>
              <w:pStyle w:val="CasesLegislationAppealFrom"/>
              <w:spacing w:after="60"/>
            </w:pPr>
            <w:r w:rsidRPr="00087CA8">
              <w:rPr>
                <w:i/>
                <w:iCs/>
              </w:rPr>
              <w:t xml:space="preserve">Deripaska v Minister for Foreign Affairs </w:t>
            </w:r>
            <w:r w:rsidRPr="00087CA8">
              <w:t>[2024] FCA 62</w:t>
            </w:r>
          </w:p>
          <w:p w14:paraId="0D155380" w14:textId="77777777" w:rsidR="00884367" w:rsidRPr="00AA41DE" w:rsidRDefault="00884367" w:rsidP="0083283B">
            <w:pPr>
              <w:pStyle w:val="CasesLegislationAppealFrom"/>
              <w:spacing w:after="60"/>
            </w:pPr>
            <w:r w:rsidRPr="00087CA8">
              <w:rPr>
                <w:i/>
                <w:iCs/>
              </w:rPr>
              <w:t xml:space="preserve">Dietrich v The Queen </w:t>
            </w:r>
            <w:r w:rsidRPr="00087CA8">
              <w:t>(1992) 177 CLR 292; [1992] HCA 57</w:t>
            </w:r>
          </w:p>
          <w:p w14:paraId="063105FC" w14:textId="77777777" w:rsidR="00884367" w:rsidRPr="00AA41DE" w:rsidRDefault="00884367" w:rsidP="0083283B">
            <w:pPr>
              <w:pStyle w:val="CasesLegislationAppealFrom"/>
              <w:spacing w:after="60"/>
            </w:pPr>
            <w:r w:rsidRPr="00087CA8">
              <w:rPr>
                <w:i/>
                <w:iCs/>
              </w:rPr>
              <w:t xml:space="preserve">Director, Fair Work Building Industry Inspectorate v Construction, Forestry, Mining and Energy Union </w:t>
            </w:r>
            <w:r w:rsidRPr="00087CA8">
              <w:t>(2013) 209 FCR 297; [2013] FCAFC 34</w:t>
            </w:r>
          </w:p>
          <w:p w14:paraId="21BF35AB" w14:textId="77777777" w:rsidR="00884367" w:rsidRPr="00AA41DE" w:rsidRDefault="00884367" w:rsidP="0083283B">
            <w:pPr>
              <w:pStyle w:val="CasesLegislationAppealFrom"/>
              <w:spacing w:after="60"/>
              <w:rPr>
                <w:szCs w:val="24"/>
              </w:rPr>
            </w:pPr>
            <w:r w:rsidRPr="00087CA8">
              <w:rPr>
                <w:i/>
                <w:iCs/>
                <w:szCs w:val="24"/>
              </w:rPr>
              <w:t xml:space="preserve">Duncan v Independent Commission Against Corruption </w:t>
            </w:r>
            <w:r w:rsidRPr="00087CA8">
              <w:rPr>
                <w:szCs w:val="24"/>
              </w:rPr>
              <w:t>(2015) 256 CLR 83; [2015] HCA 32</w:t>
            </w:r>
          </w:p>
          <w:p w14:paraId="3F7A9F89" w14:textId="77777777" w:rsidR="00884367" w:rsidRPr="00AA41DE" w:rsidRDefault="00884367" w:rsidP="0083283B">
            <w:pPr>
              <w:pStyle w:val="CasesLegislationAppealFrom"/>
              <w:spacing w:after="60"/>
            </w:pPr>
            <w:r w:rsidRPr="00087CA8">
              <w:rPr>
                <w:i/>
                <w:iCs/>
              </w:rPr>
              <w:t>EWV20 as litigation representative for AFF20 v Minister for Home Affairs (No 3)</w:t>
            </w:r>
            <w:r w:rsidRPr="00087CA8">
              <w:t xml:space="preserve"> [2021] FCA 866</w:t>
            </w:r>
          </w:p>
          <w:p w14:paraId="5E47305F" w14:textId="77777777" w:rsidR="00884367" w:rsidRPr="00AA41DE" w:rsidRDefault="00884367" w:rsidP="0083283B">
            <w:pPr>
              <w:pStyle w:val="CasesLegislationAppealFrom"/>
              <w:spacing w:after="60"/>
            </w:pPr>
            <w:r w:rsidRPr="00087CA8">
              <w:rPr>
                <w:i/>
                <w:iCs/>
              </w:rPr>
              <w:t>Graham</w:t>
            </w:r>
            <w:r w:rsidRPr="00087CA8">
              <w:t xml:space="preserve"> </w:t>
            </w:r>
            <w:r w:rsidRPr="00087CA8">
              <w:rPr>
                <w:i/>
                <w:iCs/>
              </w:rPr>
              <w:t xml:space="preserve">v Minister for Immigration and Border Protection </w:t>
            </w:r>
            <w:r w:rsidRPr="00087CA8">
              <w:t>(2017) 263 CLR 1; [2017] HCA 33</w:t>
            </w:r>
          </w:p>
          <w:p w14:paraId="6C17920A" w14:textId="77777777" w:rsidR="00884367" w:rsidRPr="00AA41DE" w:rsidRDefault="00884367" w:rsidP="0083283B">
            <w:pPr>
              <w:pStyle w:val="CasesLegislationAppealFrom"/>
              <w:spacing w:after="60"/>
              <w:rPr>
                <w:szCs w:val="24"/>
              </w:rPr>
            </w:pPr>
            <w:r w:rsidRPr="00087CA8">
              <w:rPr>
                <w:i/>
                <w:iCs/>
                <w:szCs w:val="24"/>
              </w:rPr>
              <w:t>Hicks v Minister for Immigration &amp; Multicultural &amp; Indigenous Affairs</w:t>
            </w:r>
            <w:r w:rsidRPr="00087CA8">
              <w:rPr>
                <w:szCs w:val="24"/>
              </w:rPr>
              <w:t xml:space="preserve"> [2003] FCA 757</w:t>
            </w:r>
          </w:p>
          <w:p w14:paraId="5F4A6831" w14:textId="77777777" w:rsidR="00884367" w:rsidRPr="00AA41DE" w:rsidRDefault="00884367" w:rsidP="0083283B">
            <w:pPr>
              <w:pStyle w:val="CasesLegislationAppealFrom"/>
              <w:spacing w:after="60"/>
            </w:pPr>
            <w:r w:rsidRPr="00087CA8">
              <w:rPr>
                <w:i/>
                <w:iCs/>
              </w:rPr>
              <w:t xml:space="preserve">Hossain v Minister for Immigration and Border Protection </w:t>
            </w:r>
            <w:r w:rsidRPr="00087CA8">
              <w:t>(2018) 264 CLR 123; [2018] HCA 34</w:t>
            </w:r>
          </w:p>
          <w:p w14:paraId="448C02A2" w14:textId="7B22D561" w:rsidR="00884367" w:rsidRPr="00DF17BD" w:rsidRDefault="00884367" w:rsidP="0083283B">
            <w:pPr>
              <w:pStyle w:val="CasesLegislationAppealFrom"/>
              <w:spacing w:after="60"/>
              <w:rPr>
                <w:lang w:val="de-DE"/>
              </w:rPr>
            </w:pPr>
            <w:r w:rsidRPr="00DF17BD">
              <w:rPr>
                <w:i/>
                <w:iCs/>
                <w:lang w:val="de-DE"/>
              </w:rPr>
              <w:t xml:space="preserve">Jones v Dunkel </w:t>
            </w:r>
            <w:r w:rsidRPr="00DF17BD">
              <w:rPr>
                <w:lang w:val="de-DE"/>
              </w:rPr>
              <w:t>(1959) 101 CLR 298</w:t>
            </w:r>
            <w:r w:rsidR="00702FC7" w:rsidRPr="00DF17BD">
              <w:rPr>
                <w:lang w:val="de-DE"/>
              </w:rPr>
              <w:t>; [1959] HCA 8</w:t>
            </w:r>
          </w:p>
          <w:p w14:paraId="4A4DCABB" w14:textId="77777777" w:rsidR="00884367" w:rsidRPr="00AA41DE" w:rsidRDefault="00884367" w:rsidP="0083283B">
            <w:pPr>
              <w:pStyle w:val="CasesLegislationAppealFrom"/>
              <w:spacing w:after="60"/>
            </w:pPr>
            <w:r w:rsidRPr="00087CA8">
              <w:rPr>
                <w:i/>
                <w:iCs/>
              </w:rPr>
              <w:t xml:space="preserve">Knight v Victoria </w:t>
            </w:r>
            <w:r w:rsidRPr="00087CA8">
              <w:t>(2017) 261 CLR 306; [2017] HCA 29</w:t>
            </w:r>
          </w:p>
          <w:p w14:paraId="25674585" w14:textId="34E507A9" w:rsidR="00884367" w:rsidRPr="00AA41DE" w:rsidRDefault="00884367" w:rsidP="0083283B">
            <w:pPr>
              <w:pStyle w:val="CasesLegislationAppealFrom"/>
              <w:spacing w:after="60"/>
            </w:pPr>
            <w:hyperlink r:id="rId9" w:history="1">
              <w:r w:rsidRPr="00087CA8">
                <w:rPr>
                  <w:i/>
                  <w:iCs/>
                </w:rPr>
                <w:t>Kuhl v Zurich Financial Services Australia Ltd</w:t>
              </w:r>
            </w:hyperlink>
            <w:r w:rsidRPr="00087CA8">
              <w:t xml:space="preserve"> (2011) 243 CLR 361; [2011] HCA 11</w:t>
            </w:r>
          </w:p>
          <w:p w14:paraId="05E2D424" w14:textId="77777777" w:rsidR="00884367" w:rsidRPr="00AA41DE" w:rsidRDefault="00884367" w:rsidP="0083283B">
            <w:pPr>
              <w:pStyle w:val="CasesLegislationAppealFrom"/>
              <w:spacing w:after="60"/>
              <w:rPr>
                <w:szCs w:val="24"/>
              </w:rPr>
            </w:pPr>
            <w:r w:rsidRPr="00087CA8">
              <w:rPr>
                <w:i/>
                <w:iCs/>
                <w:szCs w:val="24"/>
              </w:rPr>
              <w:t xml:space="preserve">Maxwell v Murphy </w:t>
            </w:r>
            <w:r w:rsidRPr="00087CA8">
              <w:rPr>
                <w:szCs w:val="24"/>
              </w:rPr>
              <w:t>(1957) 96 CLR 261; [1957] HCA 7</w:t>
            </w:r>
          </w:p>
          <w:p w14:paraId="69F10DDE" w14:textId="77777777" w:rsidR="00884367" w:rsidRPr="00AA41DE" w:rsidRDefault="00884367" w:rsidP="0083283B">
            <w:pPr>
              <w:pStyle w:val="CasesLegislationAppealFrom"/>
              <w:spacing w:after="60"/>
              <w:rPr>
                <w:szCs w:val="24"/>
              </w:rPr>
            </w:pPr>
            <w:r w:rsidRPr="00087CA8">
              <w:rPr>
                <w:i/>
                <w:iCs/>
                <w:szCs w:val="24"/>
              </w:rPr>
              <w:t>Minister for Immigration, Citizenship, Migrant Services and Multicultural Affairs v FAK19</w:t>
            </w:r>
            <w:r w:rsidRPr="00087CA8">
              <w:rPr>
                <w:szCs w:val="24"/>
              </w:rPr>
              <w:t xml:space="preserve"> (2021) 287 FCR 181; [2021] FCAFC 153</w:t>
            </w:r>
          </w:p>
          <w:p w14:paraId="5FADDE9B" w14:textId="77777777" w:rsidR="00884367" w:rsidRPr="00AA41DE" w:rsidRDefault="00884367" w:rsidP="0083283B">
            <w:pPr>
              <w:pStyle w:val="CasesLegislationAppealFrom"/>
              <w:spacing w:after="60"/>
            </w:pPr>
            <w:r w:rsidRPr="00087CA8">
              <w:rPr>
                <w:i/>
                <w:iCs/>
              </w:rPr>
              <w:t xml:space="preserve">Mutual Pools &amp; Staff Pty Ltd v Commonwealth </w:t>
            </w:r>
            <w:r w:rsidRPr="00087CA8">
              <w:t>(1994) 179 CLR 155; [1994] HCA 9</w:t>
            </w:r>
          </w:p>
          <w:p w14:paraId="2C41BBCC" w14:textId="77777777" w:rsidR="00884367" w:rsidRPr="00AA41DE" w:rsidRDefault="00884367" w:rsidP="0083283B">
            <w:pPr>
              <w:pStyle w:val="CasesLegislationAppealFrom"/>
              <w:spacing w:after="60"/>
            </w:pPr>
            <w:proofErr w:type="spellStart"/>
            <w:r w:rsidRPr="00087CA8">
              <w:rPr>
                <w:i/>
                <w:iCs/>
              </w:rPr>
              <w:t>Pidoto</w:t>
            </w:r>
            <w:proofErr w:type="spellEnd"/>
            <w:r w:rsidRPr="00087CA8">
              <w:rPr>
                <w:i/>
                <w:iCs/>
              </w:rPr>
              <w:t xml:space="preserve"> v Victoria </w:t>
            </w:r>
            <w:r w:rsidRPr="00087CA8">
              <w:t>(1943) 68 CLR 87; [1943] HCA 37</w:t>
            </w:r>
          </w:p>
          <w:p w14:paraId="70CE52A1" w14:textId="77777777" w:rsidR="00884367" w:rsidRPr="00AA41DE" w:rsidRDefault="00884367" w:rsidP="0083283B">
            <w:pPr>
              <w:pStyle w:val="CasesLegislationAppealFrom"/>
              <w:spacing w:after="60"/>
              <w:rPr>
                <w:szCs w:val="24"/>
              </w:rPr>
            </w:pPr>
            <w:r w:rsidRPr="00087CA8">
              <w:rPr>
                <w:i/>
                <w:iCs/>
                <w:szCs w:val="24"/>
              </w:rPr>
              <w:t>Pitman v Commissioner of Taxation</w:t>
            </w:r>
            <w:r w:rsidRPr="00087CA8">
              <w:rPr>
                <w:szCs w:val="24"/>
              </w:rPr>
              <w:t xml:space="preserve"> (2021) 289 FCR 287; [2021] FCAFC 230</w:t>
            </w:r>
          </w:p>
          <w:p w14:paraId="3644DC4E" w14:textId="0FC4E24D" w:rsidR="00884367" w:rsidRPr="00AA41DE" w:rsidRDefault="00884367" w:rsidP="0083283B">
            <w:pPr>
              <w:pStyle w:val="CasesLegislationAppealFrom"/>
              <w:spacing w:after="60"/>
            </w:pPr>
            <w:r w:rsidRPr="00087CA8">
              <w:rPr>
                <w:i/>
                <w:iCs/>
              </w:rPr>
              <w:t>Plaintiff S157/20</w:t>
            </w:r>
            <w:r w:rsidR="0057789D">
              <w:rPr>
                <w:i/>
                <w:iCs/>
              </w:rPr>
              <w:t>0</w:t>
            </w:r>
            <w:r w:rsidRPr="00087CA8">
              <w:rPr>
                <w:i/>
                <w:iCs/>
              </w:rPr>
              <w:t xml:space="preserve">2 v Commonwealth </w:t>
            </w:r>
            <w:r w:rsidRPr="00087CA8">
              <w:t>(2003) 211 CLR 476; [2003] HCA 2</w:t>
            </w:r>
          </w:p>
          <w:p w14:paraId="0AC472E2" w14:textId="77777777" w:rsidR="00884367" w:rsidRPr="00AA41DE" w:rsidRDefault="00884367" w:rsidP="0083283B">
            <w:pPr>
              <w:pStyle w:val="CasesLegislationAppealFrom"/>
              <w:spacing w:after="60"/>
              <w:rPr>
                <w:szCs w:val="24"/>
              </w:rPr>
            </w:pPr>
            <w:r w:rsidRPr="00087CA8">
              <w:rPr>
                <w:i/>
                <w:iCs/>
                <w:szCs w:val="24"/>
              </w:rPr>
              <w:t>R S Howard &amp; Sons Ltd v Brunton </w:t>
            </w:r>
            <w:r w:rsidRPr="00087CA8">
              <w:rPr>
                <w:szCs w:val="24"/>
              </w:rPr>
              <w:t>(1916) 21 CLR 366; [1916] HCA 21</w:t>
            </w:r>
          </w:p>
          <w:p w14:paraId="2D77F3B6" w14:textId="5E44E911" w:rsidR="00884367" w:rsidRPr="00AA41DE" w:rsidRDefault="00884367" w:rsidP="0083283B">
            <w:pPr>
              <w:pStyle w:val="CasesLegislationAppealFrom"/>
              <w:spacing w:after="60"/>
            </w:pPr>
            <w:r w:rsidRPr="00087CA8">
              <w:rPr>
                <w:i/>
                <w:iCs/>
              </w:rPr>
              <w:t xml:space="preserve">Re Australian Education Union; Ex </w:t>
            </w:r>
            <w:proofErr w:type="spellStart"/>
            <w:r w:rsidRPr="00087CA8">
              <w:rPr>
                <w:i/>
                <w:iCs/>
              </w:rPr>
              <w:t>parte</w:t>
            </w:r>
            <w:proofErr w:type="spellEnd"/>
            <w:r w:rsidRPr="00087CA8">
              <w:rPr>
                <w:i/>
                <w:iCs/>
              </w:rPr>
              <w:t xml:space="preserve"> Victoria </w:t>
            </w:r>
            <w:r w:rsidRPr="00087CA8">
              <w:t>(1995) 184 CLR 188; [1</w:t>
            </w:r>
            <w:r w:rsidR="00BF1C78" w:rsidRPr="00AA41DE">
              <w:t>9</w:t>
            </w:r>
            <w:r w:rsidRPr="00087CA8">
              <w:t>95] HCA 71</w:t>
            </w:r>
          </w:p>
          <w:p w14:paraId="6DCD5C04" w14:textId="325387A6" w:rsidR="00884367" w:rsidRDefault="00884367" w:rsidP="0083283B">
            <w:pPr>
              <w:pStyle w:val="CasesLegislationAppealFrom"/>
              <w:spacing w:after="60"/>
            </w:pPr>
            <w:r w:rsidRPr="00087CA8">
              <w:rPr>
                <w:i/>
                <w:iCs/>
              </w:rPr>
              <w:t xml:space="preserve">Re </w:t>
            </w:r>
            <w:proofErr w:type="spellStart"/>
            <w:r w:rsidRPr="00087CA8">
              <w:rPr>
                <w:i/>
                <w:iCs/>
              </w:rPr>
              <w:t>Dingjan</w:t>
            </w:r>
            <w:proofErr w:type="spellEnd"/>
            <w:r w:rsidRPr="00087CA8">
              <w:rPr>
                <w:i/>
                <w:iCs/>
              </w:rPr>
              <w:t xml:space="preserve">; Ex </w:t>
            </w:r>
            <w:proofErr w:type="spellStart"/>
            <w:r w:rsidRPr="00087CA8">
              <w:rPr>
                <w:i/>
                <w:iCs/>
              </w:rPr>
              <w:t>parte</w:t>
            </w:r>
            <w:proofErr w:type="spellEnd"/>
            <w:r w:rsidRPr="00087CA8">
              <w:rPr>
                <w:i/>
                <w:iCs/>
              </w:rPr>
              <w:t xml:space="preserve"> Wagner </w:t>
            </w:r>
            <w:r w:rsidRPr="00087CA8">
              <w:t>(1995) 183 CLR 323</w:t>
            </w:r>
            <w:r w:rsidR="00BF1C78" w:rsidRPr="00AA41DE">
              <w:t xml:space="preserve">; [1995] </w:t>
            </w:r>
            <w:r w:rsidR="00BF1C78" w:rsidRPr="00AA41DE">
              <w:lastRenderedPageBreak/>
              <w:t>HCA 16</w:t>
            </w:r>
          </w:p>
          <w:p w14:paraId="4AAF926E" w14:textId="0F2A5C79" w:rsidR="00E91802" w:rsidRPr="00AA41DE" w:rsidRDefault="00E91802" w:rsidP="0083283B">
            <w:pPr>
              <w:pStyle w:val="CasesLegislationAppealFrom"/>
              <w:spacing w:after="60"/>
            </w:pPr>
            <w:r>
              <w:rPr>
                <w:i/>
                <w:iCs/>
              </w:rPr>
              <w:t xml:space="preserve">Re </w:t>
            </w:r>
            <w:r w:rsidRPr="00684840">
              <w:rPr>
                <w:i/>
                <w:iCs/>
              </w:rPr>
              <w:t>Nolan</w:t>
            </w:r>
            <w:r>
              <w:rPr>
                <w:i/>
                <w:iCs/>
              </w:rPr>
              <w:t xml:space="preserve">; </w:t>
            </w:r>
            <w:r w:rsidR="003863C1">
              <w:rPr>
                <w:i/>
                <w:iCs/>
              </w:rPr>
              <w:t>E</w:t>
            </w:r>
            <w:r>
              <w:rPr>
                <w:i/>
                <w:iCs/>
              </w:rPr>
              <w:t xml:space="preserve">x </w:t>
            </w:r>
            <w:proofErr w:type="spellStart"/>
            <w:r>
              <w:rPr>
                <w:i/>
                <w:iCs/>
              </w:rPr>
              <w:t>parte</w:t>
            </w:r>
            <w:proofErr w:type="spellEnd"/>
            <w:r>
              <w:rPr>
                <w:i/>
                <w:iCs/>
              </w:rPr>
              <w:t xml:space="preserve"> Young </w:t>
            </w:r>
            <w:r>
              <w:t>(1991) 172 CLR 460; [1991] HCA 29</w:t>
            </w:r>
          </w:p>
          <w:p w14:paraId="7A4FE98E" w14:textId="77777777" w:rsidR="00884367" w:rsidRPr="00AA41DE" w:rsidRDefault="00884367" w:rsidP="0083283B">
            <w:pPr>
              <w:pStyle w:val="CasesLegislationAppealFrom"/>
              <w:spacing w:after="60"/>
            </w:pPr>
            <w:r w:rsidRPr="00087CA8">
              <w:rPr>
                <w:i/>
                <w:iCs/>
              </w:rPr>
              <w:t xml:space="preserve">Roberts-Smith v Fairfax Media Publications Pty Limited (No 41) </w:t>
            </w:r>
            <w:r w:rsidRPr="00087CA8">
              <w:t>[2023] FCA 555</w:t>
            </w:r>
          </w:p>
          <w:p w14:paraId="66BFE033" w14:textId="77777777" w:rsidR="00884367" w:rsidRPr="00AA41DE" w:rsidRDefault="00884367" w:rsidP="0083283B">
            <w:pPr>
              <w:pStyle w:val="CasesLegislationAppealFrom"/>
              <w:spacing w:after="60"/>
              <w:rPr>
                <w:szCs w:val="24"/>
              </w:rPr>
            </w:pPr>
            <w:r w:rsidRPr="00087CA8">
              <w:rPr>
                <w:i/>
                <w:iCs/>
                <w:szCs w:val="24"/>
              </w:rPr>
              <w:t>Stephens v The Queen</w:t>
            </w:r>
            <w:r w:rsidRPr="00087CA8">
              <w:rPr>
                <w:szCs w:val="24"/>
              </w:rPr>
              <w:t xml:space="preserve"> (2022) 273 CLR 635; [2022] HCA 31</w:t>
            </w:r>
          </w:p>
          <w:p w14:paraId="6A08E8DB" w14:textId="13505D39" w:rsidR="00884367" w:rsidRPr="00AA41DE" w:rsidRDefault="00884367" w:rsidP="0083283B">
            <w:pPr>
              <w:pStyle w:val="CasesLegislationAppealFrom"/>
              <w:spacing w:after="60"/>
            </w:pPr>
            <w:r w:rsidRPr="00087CA8">
              <w:rPr>
                <w:i/>
                <w:iCs/>
              </w:rPr>
              <w:t xml:space="preserve">Strickland v Rocla Concrete Pipes Ltd </w:t>
            </w:r>
            <w:r w:rsidRPr="00087CA8">
              <w:t>(1971) 124 CLR 468</w:t>
            </w:r>
            <w:r w:rsidR="00BF1C78" w:rsidRPr="00AA41DE">
              <w:t>; [1971] HCA 40</w:t>
            </w:r>
          </w:p>
          <w:p w14:paraId="72D9FBB6" w14:textId="77777777" w:rsidR="00884367" w:rsidRPr="00AA41DE" w:rsidRDefault="00884367" w:rsidP="0083283B">
            <w:pPr>
              <w:pStyle w:val="CasesLegislationAppealFrom"/>
              <w:spacing w:after="60"/>
            </w:pPr>
            <w:r w:rsidRPr="00087CA8">
              <w:rPr>
                <w:i/>
                <w:iCs/>
                <w:lang w:eastAsia="en-AU"/>
              </w:rPr>
              <w:t xml:space="preserve">SZTAL v Minister for Immigration and Border Protection </w:t>
            </w:r>
            <w:r w:rsidRPr="00087CA8">
              <w:rPr>
                <w:lang w:eastAsia="en-AU"/>
              </w:rPr>
              <w:t>(2017) 262 CLR 362; [2017] HCA 34</w:t>
            </w:r>
          </w:p>
          <w:p w14:paraId="2F9A735F" w14:textId="77777777" w:rsidR="00884367" w:rsidRPr="00AA41DE" w:rsidRDefault="00884367" w:rsidP="0083283B">
            <w:pPr>
              <w:pStyle w:val="CasesLegislationAppealFrom"/>
              <w:spacing w:after="60"/>
            </w:pPr>
            <w:proofErr w:type="spellStart"/>
            <w:r w:rsidRPr="00087CA8">
              <w:rPr>
                <w:i/>
                <w:iCs/>
              </w:rPr>
              <w:t>Tajjour</w:t>
            </w:r>
            <w:proofErr w:type="spellEnd"/>
            <w:r w:rsidRPr="00087CA8">
              <w:rPr>
                <w:i/>
                <w:iCs/>
              </w:rPr>
              <w:t xml:space="preserve"> v New South Wales </w:t>
            </w:r>
            <w:r w:rsidRPr="00087CA8">
              <w:t>(2014) 254 CLR 508; [2014] HCA 35</w:t>
            </w:r>
          </w:p>
          <w:p w14:paraId="5348DFE6" w14:textId="77777777" w:rsidR="00884367" w:rsidRPr="00AA41DE" w:rsidRDefault="00884367" w:rsidP="0083283B">
            <w:pPr>
              <w:pStyle w:val="CasesLegislationAppealFrom"/>
              <w:spacing w:after="60"/>
            </w:pPr>
            <w:r w:rsidRPr="00087CA8">
              <w:rPr>
                <w:i/>
                <w:iCs/>
              </w:rPr>
              <w:t>Vairy v Wyong Shire Council</w:t>
            </w:r>
            <w:r w:rsidRPr="00087CA8">
              <w:t xml:space="preserve"> (2005) 223 CLR 422; [2005] HCA 62</w:t>
            </w:r>
          </w:p>
          <w:p w14:paraId="6A905BA6" w14:textId="29971DA1" w:rsidR="008E575A" w:rsidRPr="00AA41DE" w:rsidRDefault="008E575A" w:rsidP="0083283B">
            <w:pPr>
              <w:pStyle w:val="CasesLegislationAppealFrom"/>
              <w:spacing w:after="60"/>
            </w:pPr>
            <w:r w:rsidRPr="00AA41DE">
              <w:rPr>
                <w:i/>
                <w:iCs/>
              </w:rPr>
              <w:t>Victoria v Commonwealth (</w:t>
            </w:r>
            <w:r w:rsidRPr="00087CA8">
              <w:rPr>
                <w:i/>
                <w:iCs/>
              </w:rPr>
              <w:t>Industrial Relations Act case</w:t>
            </w:r>
            <w:r w:rsidRPr="00AA41DE">
              <w:rPr>
                <w:i/>
                <w:iCs/>
              </w:rPr>
              <w:t xml:space="preserve">) </w:t>
            </w:r>
            <w:r w:rsidRPr="00AA41DE">
              <w:t>(1996) 187 CLR 416; [1996] HCA 56</w:t>
            </w:r>
          </w:p>
          <w:p w14:paraId="33064D2F" w14:textId="5EC4519D" w:rsidR="00ED1158" w:rsidRDefault="00884367" w:rsidP="0083283B">
            <w:pPr>
              <w:pStyle w:val="CasesLegislationAppealFrom"/>
              <w:spacing w:after="60"/>
            </w:pPr>
            <w:r w:rsidRPr="00087CA8">
              <w:rPr>
                <w:i/>
                <w:iCs/>
              </w:rPr>
              <w:t xml:space="preserve">Western Australia v Ward </w:t>
            </w:r>
            <w:r w:rsidRPr="00087CA8">
              <w:t>(1997) 76 FCR 49</w:t>
            </w:r>
            <w:r w:rsidR="00ED1158" w:rsidRPr="00087CA8">
              <w:t>2</w:t>
            </w:r>
          </w:p>
          <w:p w14:paraId="07A51980" w14:textId="3CC90958" w:rsidR="0083283B" w:rsidRPr="0083283B" w:rsidRDefault="00ED1158" w:rsidP="0083283B">
            <w:pPr>
              <w:pStyle w:val="CasesLegislationAppealFrom"/>
              <w:spacing w:after="60"/>
            </w:pPr>
            <w:r>
              <w:rPr>
                <w:i/>
                <w:iCs/>
              </w:rPr>
              <w:t xml:space="preserve">YBFZ v Minister for Immigration, Citizenship and Multicultural Affairs </w:t>
            </w:r>
            <w:r>
              <w:t>(2024) 99 ALJR 1; [2024] HCA 40</w:t>
            </w:r>
            <w:bookmarkEnd w:id="5"/>
          </w:p>
        </w:tc>
      </w:tr>
      <w:tr w:rsidR="009971DC" w14:paraId="29F7E7C3" w14:textId="77777777" w:rsidTr="00276A43">
        <w:tc>
          <w:tcPr>
            <w:tcW w:w="3082" w:type="dxa"/>
            <w:shd w:val="clear" w:color="auto" w:fill="auto"/>
          </w:tcPr>
          <w:p w14:paraId="4A9B087E" w14:textId="77777777" w:rsidR="009971DC" w:rsidRDefault="009971DC">
            <w:pPr>
              <w:pStyle w:val="Normal1linespace"/>
              <w:widowControl w:val="0"/>
            </w:pPr>
          </w:p>
        </w:tc>
        <w:tc>
          <w:tcPr>
            <w:tcW w:w="5989" w:type="dxa"/>
            <w:shd w:val="clear" w:color="auto" w:fill="auto"/>
          </w:tcPr>
          <w:p w14:paraId="38A195AD" w14:textId="77777777" w:rsidR="009971DC" w:rsidRDefault="009971DC">
            <w:pPr>
              <w:pStyle w:val="Normal1linespace"/>
              <w:widowControl w:val="0"/>
              <w:jc w:val="left"/>
            </w:pPr>
          </w:p>
        </w:tc>
      </w:tr>
      <w:tr w:rsidR="009971DC" w14:paraId="0E62923E" w14:textId="77777777" w:rsidTr="00276A43">
        <w:tc>
          <w:tcPr>
            <w:tcW w:w="3082" w:type="dxa"/>
            <w:shd w:val="clear" w:color="auto" w:fill="auto"/>
          </w:tcPr>
          <w:p w14:paraId="2682FC7B" w14:textId="77777777" w:rsidR="009971DC" w:rsidRDefault="009971DC" w:rsidP="00501A12">
            <w:pPr>
              <w:pStyle w:val="Normal1linespace"/>
              <w:widowControl w:val="0"/>
            </w:pPr>
            <w:r>
              <w:t>Division:</w:t>
            </w:r>
          </w:p>
        </w:tc>
        <w:tc>
          <w:tcPr>
            <w:tcW w:w="5989" w:type="dxa"/>
            <w:shd w:val="clear" w:color="auto" w:fill="auto"/>
          </w:tcPr>
          <w:p w14:paraId="0A1CCFF5" w14:textId="625BCC08" w:rsidR="009971DC" w:rsidRPr="00F17599" w:rsidRDefault="009971DC" w:rsidP="00501A12">
            <w:pPr>
              <w:pStyle w:val="Normal1linespace"/>
              <w:widowControl w:val="0"/>
              <w:jc w:val="left"/>
            </w:pPr>
            <w:r>
              <w:fldChar w:fldCharType="begin"/>
            </w:r>
            <w:r>
              <w:instrText xml:space="preserve"> DOCPROPERTY  Division </w:instrText>
            </w:r>
            <w:r>
              <w:fldChar w:fldCharType="separate"/>
            </w:r>
            <w:r w:rsidR="00C907AC">
              <w:t>General</w:t>
            </w:r>
            <w:r w:rsidR="000B3B3D">
              <w:t xml:space="preserve"> Division</w:t>
            </w:r>
            <w:r>
              <w:fldChar w:fldCharType="end"/>
            </w:r>
          </w:p>
        </w:tc>
      </w:tr>
      <w:tr w:rsidR="009971DC" w14:paraId="4ACC68AA" w14:textId="77777777" w:rsidTr="00276A43">
        <w:tc>
          <w:tcPr>
            <w:tcW w:w="3082" w:type="dxa"/>
            <w:shd w:val="clear" w:color="auto" w:fill="auto"/>
          </w:tcPr>
          <w:p w14:paraId="76911CC0" w14:textId="77777777" w:rsidR="009971DC" w:rsidRDefault="009971DC" w:rsidP="00501A12">
            <w:pPr>
              <w:pStyle w:val="Normal1linespace"/>
              <w:widowControl w:val="0"/>
            </w:pPr>
            <w:bookmarkStart w:id="6" w:name="Registry_rows" w:colFirst="0" w:colLast="1"/>
          </w:p>
        </w:tc>
        <w:tc>
          <w:tcPr>
            <w:tcW w:w="5989" w:type="dxa"/>
            <w:shd w:val="clear" w:color="auto" w:fill="auto"/>
          </w:tcPr>
          <w:p w14:paraId="3808F5D9" w14:textId="77777777" w:rsidR="009971DC" w:rsidRDefault="009971DC" w:rsidP="00501A12">
            <w:pPr>
              <w:pStyle w:val="Normal1linespace"/>
              <w:widowControl w:val="0"/>
              <w:jc w:val="left"/>
            </w:pPr>
          </w:p>
        </w:tc>
      </w:tr>
      <w:tr w:rsidR="009971DC" w14:paraId="6D73124A" w14:textId="77777777" w:rsidTr="00276A43">
        <w:tc>
          <w:tcPr>
            <w:tcW w:w="3082" w:type="dxa"/>
            <w:shd w:val="clear" w:color="auto" w:fill="auto"/>
          </w:tcPr>
          <w:p w14:paraId="1ED80BA4" w14:textId="77777777" w:rsidR="009971DC" w:rsidRDefault="009971DC" w:rsidP="00501A12">
            <w:pPr>
              <w:pStyle w:val="Normal1linespace"/>
              <w:widowControl w:val="0"/>
            </w:pPr>
            <w:r>
              <w:t>Registry:</w:t>
            </w:r>
          </w:p>
        </w:tc>
        <w:tc>
          <w:tcPr>
            <w:tcW w:w="5989" w:type="dxa"/>
            <w:shd w:val="clear" w:color="auto" w:fill="auto"/>
          </w:tcPr>
          <w:p w14:paraId="614349CC" w14:textId="17D740A7" w:rsidR="009971DC" w:rsidRPr="00F17599" w:rsidRDefault="009971DC" w:rsidP="00501A12">
            <w:pPr>
              <w:pStyle w:val="Normal1linespace"/>
              <w:widowControl w:val="0"/>
              <w:jc w:val="left"/>
            </w:pPr>
            <w:r>
              <w:fldChar w:fldCharType="begin"/>
            </w:r>
            <w:r>
              <w:instrText xml:space="preserve"> DOCPROPERTY  Registry </w:instrText>
            </w:r>
            <w:r>
              <w:fldChar w:fldCharType="separate"/>
            </w:r>
            <w:r w:rsidR="000B3B3D">
              <w:t>Western Australia</w:t>
            </w:r>
            <w:r>
              <w:fldChar w:fldCharType="end"/>
            </w:r>
          </w:p>
        </w:tc>
      </w:tr>
      <w:tr w:rsidR="009971DC" w14:paraId="766BF75E" w14:textId="77777777" w:rsidTr="00276A43">
        <w:tc>
          <w:tcPr>
            <w:tcW w:w="3082" w:type="dxa"/>
            <w:shd w:val="clear" w:color="auto" w:fill="auto"/>
          </w:tcPr>
          <w:p w14:paraId="2715D460" w14:textId="77777777" w:rsidR="009971DC" w:rsidRDefault="009971DC" w:rsidP="00501A12">
            <w:pPr>
              <w:pStyle w:val="Normal1linespace"/>
              <w:widowControl w:val="0"/>
            </w:pPr>
            <w:bookmarkStart w:id="7" w:name="NPARow" w:colFirst="0" w:colLast="1"/>
            <w:bookmarkEnd w:id="6"/>
          </w:p>
        </w:tc>
        <w:tc>
          <w:tcPr>
            <w:tcW w:w="5989" w:type="dxa"/>
            <w:shd w:val="clear" w:color="auto" w:fill="auto"/>
          </w:tcPr>
          <w:p w14:paraId="0B81321B" w14:textId="77777777" w:rsidR="009971DC" w:rsidRPr="00F17599" w:rsidRDefault="009971DC" w:rsidP="00501A12">
            <w:pPr>
              <w:pStyle w:val="Normal1linespace"/>
              <w:widowControl w:val="0"/>
              <w:jc w:val="left"/>
              <w:rPr>
                <w:b/>
              </w:rPr>
            </w:pPr>
          </w:p>
        </w:tc>
      </w:tr>
      <w:tr w:rsidR="009971DC" w14:paraId="13C577E4" w14:textId="77777777" w:rsidTr="00276A43">
        <w:tc>
          <w:tcPr>
            <w:tcW w:w="3082" w:type="dxa"/>
            <w:shd w:val="clear" w:color="auto" w:fill="auto"/>
          </w:tcPr>
          <w:p w14:paraId="26FDCEE1" w14:textId="77777777" w:rsidR="009971DC" w:rsidRDefault="009971DC" w:rsidP="00501A12">
            <w:pPr>
              <w:pStyle w:val="Normal1linespace"/>
              <w:widowControl w:val="0"/>
            </w:pPr>
            <w:r>
              <w:t>National Practice Area:</w:t>
            </w:r>
          </w:p>
        </w:tc>
        <w:tc>
          <w:tcPr>
            <w:tcW w:w="5989" w:type="dxa"/>
            <w:shd w:val="clear" w:color="auto" w:fill="auto"/>
          </w:tcPr>
          <w:p w14:paraId="71F65FC8" w14:textId="72D5386C" w:rsidR="009971DC" w:rsidRPr="00F17599" w:rsidRDefault="000B3B3D">
            <w:pPr>
              <w:pStyle w:val="Normal1linespace"/>
              <w:widowControl w:val="0"/>
              <w:jc w:val="left"/>
              <w:rPr>
                <w:b/>
              </w:rPr>
            </w:pPr>
            <w:fldSimple w:instr=" DOCPROPERTY  &quot;Practice Area&quot;  \* MERGEFORMAT ">
              <w:r>
                <w:t>Administrative and Constitutional Law and Human Rights</w:t>
              </w:r>
            </w:fldSimple>
          </w:p>
        </w:tc>
      </w:tr>
      <w:tr w:rsidR="009971DC" w14:paraId="15E0BFEF" w14:textId="77777777" w:rsidTr="00276A43">
        <w:tc>
          <w:tcPr>
            <w:tcW w:w="3082" w:type="dxa"/>
            <w:shd w:val="clear" w:color="auto" w:fill="auto"/>
          </w:tcPr>
          <w:p w14:paraId="19951F9A" w14:textId="77777777" w:rsidR="009971DC" w:rsidRDefault="009971DC" w:rsidP="00501A12">
            <w:pPr>
              <w:pStyle w:val="Normal1linespace"/>
              <w:widowControl w:val="0"/>
            </w:pPr>
            <w:bookmarkStart w:id="8" w:name="SubAreaRow" w:colFirst="0" w:colLast="1"/>
            <w:bookmarkEnd w:id="7"/>
          </w:p>
        </w:tc>
        <w:tc>
          <w:tcPr>
            <w:tcW w:w="5989" w:type="dxa"/>
            <w:shd w:val="clear" w:color="auto" w:fill="auto"/>
          </w:tcPr>
          <w:p w14:paraId="08EA0C26" w14:textId="77777777" w:rsidR="009971DC" w:rsidRDefault="009971DC">
            <w:pPr>
              <w:pStyle w:val="Normal1linespace"/>
              <w:widowControl w:val="0"/>
              <w:jc w:val="left"/>
            </w:pPr>
          </w:p>
        </w:tc>
      </w:tr>
      <w:bookmarkEnd w:id="8"/>
      <w:tr w:rsidR="009971DC" w14:paraId="562A3CD8" w14:textId="77777777" w:rsidTr="00276A43">
        <w:tc>
          <w:tcPr>
            <w:tcW w:w="3082" w:type="dxa"/>
            <w:shd w:val="clear" w:color="auto" w:fill="auto"/>
          </w:tcPr>
          <w:p w14:paraId="0BA16606" w14:textId="77777777" w:rsidR="009971DC" w:rsidRDefault="009971DC" w:rsidP="00501A12">
            <w:pPr>
              <w:pStyle w:val="Normal1linespace"/>
              <w:widowControl w:val="0"/>
            </w:pPr>
            <w:r>
              <w:t>Number of paragraphs:</w:t>
            </w:r>
          </w:p>
        </w:tc>
        <w:tc>
          <w:tcPr>
            <w:tcW w:w="5989" w:type="dxa"/>
            <w:shd w:val="clear" w:color="auto" w:fill="auto"/>
          </w:tcPr>
          <w:p w14:paraId="49D39C91" w14:textId="7A1FAC02" w:rsidR="009971DC" w:rsidRDefault="00FD7447" w:rsidP="00501A12">
            <w:pPr>
              <w:pStyle w:val="Normal1linespace"/>
              <w:widowControl w:val="0"/>
              <w:jc w:val="left"/>
            </w:pPr>
            <w:bookmarkStart w:id="9" w:name="PlaceCategoryParagraphs"/>
            <w:r>
              <w:t>156</w:t>
            </w:r>
            <w:bookmarkEnd w:id="9"/>
          </w:p>
        </w:tc>
      </w:tr>
      <w:tr w:rsidR="009971DC" w14:paraId="06A811FD" w14:textId="77777777" w:rsidTr="00276A43">
        <w:tc>
          <w:tcPr>
            <w:tcW w:w="3082" w:type="dxa"/>
            <w:shd w:val="clear" w:color="auto" w:fill="auto"/>
          </w:tcPr>
          <w:p w14:paraId="7D501B00" w14:textId="77777777" w:rsidR="009971DC" w:rsidRDefault="009971DC" w:rsidP="009971DC">
            <w:pPr>
              <w:pStyle w:val="Normal1linespace"/>
              <w:widowControl w:val="0"/>
              <w:jc w:val="left"/>
            </w:pPr>
          </w:p>
        </w:tc>
        <w:tc>
          <w:tcPr>
            <w:tcW w:w="5989" w:type="dxa"/>
            <w:shd w:val="clear" w:color="auto" w:fill="auto"/>
          </w:tcPr>
          <w:p w14:paraId="0528BB5A" w14:textId="77777777" w:rsidR="009971DC" w:rsidRDefault="009971DC" w:rsidP="009971DC">
            <w:pPr>
              <w:pStyle w:val="Normal1linespace"/>
              <w:widowControl w:val="0"/>
              <w:jc w:val="left"/>
            </w:pPr>
          </w:p>
        </w:tc>
      </w:tr>
      <w:tr w:rsidR="009971DC" w14:paraId="4C9D13D9" w14:textId="77777777" w:rsidTr="00276A43">
        <w:tc>
          <w:tcPr>
            <w:tcW w:w="3082" w:type="dxa"/>
            <w:shd w:val="clear" w:color="auto" w:fill="auto"/>
          </w:tcPr>
          <w:p w14:paraId="78C6C36A" w14:textId="77777777" w:rsidR="009971DC" w:rsidRDefault="009971DC" w:rsidP="009971DC">
            <w:pPr>
              <w:pStyle w:val="Normal1linespace"/>
              <w:widowControl w:val="0"/>
              <w:jc w:val="left"/>
            </w:pPr>
            <w:bookmarkStart w:id="10" w:name="CounselDate" w:colFirst="0" w:colLast="2"/>
            <w:r w:rsidRPr="006A24E3">
              <w:t>Date of hearing:</w:t>
            </w:r>
          </w:p>
        </w:tc>
        <w:tc>
          <w:tcPr>
            <w:tcW w:w="5989" w:type="dxa"/>
            <w:shd w:val="clear" w:color="auto" w:fill="auto"/>
          </w:tcPr>
          <w:p w14:paraId="7C43B5A9" w14:textId="650BD7CD" w:rsidR="009971DC" w:rsidRDefault="00465D8F" w:rsidP="009971DC">
            <w:pPr>
              <w:pStyle w:val="Normal1linespace"/>
              <w:widowControl w:val="0"/>
              <w:jc w:val="left"/>
            </w:pPr>
            <w:bookmarkStart w:id="11" w:name="HearingDate"/>
            <w:r w:rsidRPr="00087CA8">
              <w:t>18–19 November 2024</w:t>
            </w:r>
            <w:bookmarkEnd w:id="11"/>
          </w:p>
        </w:tc>
      </w:tr>
      <w:tr w:rsidR="009971DC" w14:paraId="00BC7275" w14:textId="77777777" w:rsidTr="00276A43">
        <w:tc>
          <w:tcPr>
            <w:tcW w:w="3082" w:type="dxa"/>
            <w:shd w:val="clear" w:color="auto" w:fill="auto"/>
          </w:tcPr>
          <w:p w14:paraId="410F449F" w14:textId="77777777" w:rsidR="009971DC" w:rsidRDefault="009971DC" w:rsidP="009971DC">
            <w:pPr>
              <w:pStyle w:val="Normal1linespace"/>
              <w:widowControl w:val="0"/>
              <w:jc w:val="left"/>
            </w:pPr>
          </w:p>
        </w:tc>
        <w:tc>
          <w:tcPr>
            <w:tcW w:w="5989" w:type="dxa"/>
            <w:shd w:val="clear" w:color="auto" w:fill="auto"/>
          </w:tcPr>
          <w:p w14:paraId="01C86AF9" w14:textId="77777777" w:rsidR="009971DC" w:rsidRDefault="009971DC" w:rsidP="009971DC">
            <w:pPr>
              <w:pStyle w:val="Normal1linespace"/>
              <w:widowControl w:val="0"/>
              <w:jc w:val="left"/>
            </w:pPr>
          </w:p>
        </w:tc>
      </w:tr>
      <w:tr w:rsidR="005066A7" w14:paraId="04BB785C" w14:textId="2F9953A6" w:rsidTr="00276A43">
        <w:tc>
          <w:tcPr>
            <w:tcW w:w="3082" w:type="dxa"/>
            <w:shd w:val="clear" w:color="auto" w:fill="auto"/>
          </w:tcPr>
          <w:p w14:paraId="2BC70933" w14:textId="5A7263DC" w:rsidR="005066A7" w:rsidRDefault="005066A7" w:rsidP="00087CA8">
            <w:pPr>
              <w:pStyle w:val="Normal1linespace"/>
              <w:widowControl w:val="0"/>
              <w:jc w:val="left"/>
            </w:pPr>
            <w:bookmarkStart w:id="12" w:name="CompletionTable"/>
            <w:bookmarkEnd w:id="10"/>
            <w:r>
              <w:t>Counsel for the Appellant:</w:t>
            </w:r>
          </w:p>
        </w:tc>
        <w:tc>
          <w:tcPr>
            <w:tcW w:w="5989" w:type="dxa"/>
            <w:shd w:val="clear" w:color="auto" w:fill="auto"/>
          </w:tcPr>
          <w:p w14:paraId="0DB8C71E" w14:textId="0EC82753" w:rsidR="005066A7" w:rsidRDefault="005066A7" w:rsidP="005066A7">
            <w:pPr>
              <w:pStyle w:val="Normal1linespace"/>
              <w:widowControl w:val="0"/>
              <w:jc w:val="left"/>
            </w:pPr>
            <w:r>
              <w:t xml:space="preserve">S B Lloyd SC, C </w:t>
            </w:r>
            <w:proofErr w:type="spellStart"/>
            <w:r>
              <w:t>C</w:t>
            </w:r>
            <w:proofErr w:type="spellEnd"/>
            <w:r>
              <w:t xml:space="preserve"> Porter, and D A Ward</w:t>
            </w:r>
          </w:p>
        </w:tc>
      </w:tr>
      <w:tr w:rsidR="005066A7" w14:paraId="3DEA9576" w14:textId="41458A55" w:rsidTr="00276A43">
        <w:tc>
          <w:tcPr>
            <w:tcW w:w="3082" w:type="dxa"/>
            <w:shd w:val="clear" w:color="auto" w:fill="auto"/>
          </w:tcPr>
          <w:p w14:paraId="092C4093" w14:textId="7160930A" w:rsidR="005066A7" w:rsidRDefault="005066A7" w:rsidP="005066A7">
            <w:pPr>
              <w:pStyle w:val="Normal1linespace"/>
              <w:widowControl w:val="0"/>
              <w:jc w:val="left"/>
            </w:pPr>
          </w:p>
        </w:tc>
        <w:tc>
          <w:tcPr>
            <w:tcW w:w="5989" w:type="dxa"/>
            <w:shd w:val="clear" w:color="auto" w:fill="auto"/>
          </w:tcPr>
          <w:p w14:paraId="01B5FE54" w14:textId="3A8D8950" w:rsidR="005066A7" w:rsidRDefault="005066A7" w:rsidP="005066A7">
            <w:pPr>
              <w:pStyle w:val="Normal1linespace"/>
              <w:widowControl w:val="0"/>
              <w:jc w:val="left"/>
            </w:pPr>
          </w:p>
        </w:tc>
      </w:tr>
      <w:tr w:rsidR="005066A7" w14:paraId="55DC5755" w14:textId="6D163421" w:rsidTr="00276A43">
        <w:tc>
          <w:tcPr>
            <w:tcW w:w="3082" w:type="dxa"/>
            <w:shd w:val="clear" w:color="auto" w:fill="auto"/>
          </w:tcPr>
          <w:p w14:paraId="56CFD2BC" w14:textId="49397EC9" w:rsidR="005066A7" w:rsidRDefault="005066A7" w:rsidP="005066A7">
            <w:pPr>
              <w:pStyle w:val="Normal1linespace"/>
              <w:widowControl w:val="0"/>
              <w:jc w:val="left"/>
            </w:pPr>
            <w:r>
              <w:t>Solicitor for the Appellant:</w:t>
            </w:r>
          </w:p>
        </w:tc>
        <w:tc>
          <w:tcPr>
            <w:tcW w:w="5989" w:type="dxa"/>
            <w:shd w:val="clear" w:color="auto" w:fill="auto"/>
          </w:tcPr>
          <w:p w14:paraId="7DD45561" w14:textId="4F619176" w:rsidR="005066A7" w:rsidRDefault="005066A7" w:rsidP="005066A7">
            <w:pPr>
              <w:pStyle w:val="Normal1linespace"/>
              <w:widowControl w:val="0"/>
              <w:jc w:val="left"/>
            </w:pPr>
            <w:r>
              <w:t>Pragma Lawyers</w:t>
            </w:r>
          </w:p>
        </w:tc>
      </w:tr>
      <w:tr w:rsidR="005066A7" w14:paraId="5DA5C111" w14:textId="4C80FBBF" w:rsidTr="00276A43">
        <w:tc>
          <w:tcPr>
            <w:tcW w:w="3082" w:type="dxa"/>
            <w:shd w:val="clear" w:color="auto" w:fill="auto"/>
          </w:tcPr>
          <w:p w14:paraId="263EA2C4" w14:textId="7E8B646E" w:rsidR="005066A7" w:rsidRDefault="005066A7" w:rsidP="005066A7">
            <w:pPr>
              <w:pStyle w:val="Normal1linespace"/>
              <w:widowControl w:val="0"/>
              <w:jc w:val="left"/>
            </w:pPr>
          </w:p>
        </w:tc>
        <w:tc>
          <w:tcPr>
            <w:tcW w:w="5989" w:type="dxa"/>
            <w:shd w:val="clear" w:color="auto" w:fill="auto"/>
          </w:tcPr>
          <w:p w14:paraId="4BF6FF1C" w14:textId="620041B4" w:rsidR="005066A7" w:rsidRDefault="005066A7" w:rsidP="005066A7">
            <w:pPr>
              <w:pStyle w:val="Normal1linespace"/>
              <w:widowControl w:val="0"/>
              <w:jc w:val="left"/>
            </w:pPr>
          </w:p>
        </w:tc>
      </w:tr>
      <w:tr w:rsidR="005066A7" w14:paraId="1B942B3D" w14:textId="58B629A8" w:rsidTr="00276A43">
        <w:tc>
          <w:tcPr>
            <w:tcW w:w="3082" w:type="dxa"/>
            <w:shd w:val="clear" w:color="auto" w:fill="auto"/>
          </w:tcPr>
          <w:p w14:paraId="19747F87" w14:textId="334B6CBD" w:rsidR="005066A7" w:rsidRDefault="005066A7" w:rsidP="005066A7">
            <w:pPr>
              <w:pStyle w:val="Normal1linespace"/>
              <w:widowControl w:val="0"/>
              <w:jc w:val="left"/>
            </w:pPr>
            <w:r>
              <w:t>Counsel for the Respondent:</w:t>
            </w:r>
          </w:p>
        </w:tc>
        <w:tc>
          <w:tcPr>
            <w:tcW w:w="5989" w:type="dxa"/>
            <w:shd w:val="clear" w:color="auto" w:fill="auto"/>
          </w:tcPr>
          <w:p w14:paraId="254D2514" w14:textId="1EF283C7" w:rsidR="005066A7" w:rsidRDefault="005066A7" w:rsidP="005066A7">
            <w:pPr>
              <w:pStyle w:val="Normal1linespace"/>
              <w:widowControl w:val="0"/>
              <w:jc w:val="left"/>
            </w:pPr>
            <w:r>
              <w:t>P Herzfeld SC, B Lim, and E Dunlop</w:t>
            </w:r>
          </w:p>
        </w:tc>
      </w:tr>
      <w:tr w:rsidR="005066A7" w14:paraId="73440A0B" w14:textId="01DA9654" w:rsidTr="00276A43">
        <w:tc>
          <w:tcPr>
            <w:tcW w:w="3082" w:type="dxa"/>
            <w:shd w:val="clear" w:color="auto" w:fill="auto"/>
          </w:tcPr>
          <w:p w14:paraId="00D6B68D" w14:textId="571D66AC" w:rsidR="005066A7" w:rsidRDefault="005066A7" w:rsidP="005066A7">
            <w:pPr>
              <w:pStyle w:val="Normal1linespace"/>
              <w:widowControl w:val="0"/>
              <w:jc w:val="left"/>
            </w:pPr>
          </w:p>
        </w:tc>
        <w:tc>
          <w:tcPr>
            <w:tcW w:w="5989" w:type="dxa"/>
            <w:shd w:val="clear" w:color="auto" w:fill="auto"/>
          </w:tcPr>
          <w:p w14:paraId="4825F565" w14:textId="1EC775A8" w:rsidR="005066A7" w:rsidRDefault="005066A7" w:rsidP="005066A7">
            <w:pPr>
              <w:pStyle w:val="Normal1linespace"/>
              <w:widowControl w:val="0"/>
              <w:jc w:val="left"/>
            </w:pPr>
          </w:p>
        </w:tc>
      </w:tr>
      <w:tr w:rsidR="005066A7" w14:paraId="135C8927" w14:textId="5931760D" w:rsidTr="00276A43">
        <w:tc>
          <w:tcPr>
            <w:tcW w:w="3082" w:type="dxa"/>
            <w:shd w:val="clear" w:color="auto" w:fill="auto"/>
          </w:tcPr>
          <w:p w14:paraId="1A8ECA22" w14:textId="72B0374A" w:rsidR="005066A7" w:rsidRDefault="005066A7" w:rsidP="005066A7">
            <w:pPr>
              <w:pStyle w:val="Normal1linespace"/>
              <w:widowControl w:val="0"/>
              <w:jc w:val="left"/>
            </w:pPr>
            <w:r>
              <w:t>Solicitor for the Respondent:</w:t>
            </w:r>
          </w:p>
        </w:tc>
        <w:tc>
          <w:tcPr>
            <w:tcW w:w="5989" w:type="dxa"/>
            <w:shd w:val="clear" w:color="auto" w:fill="auto"/>
          </w:tcPr>
          <w:p w14:paraId="72ED4427" w14:textId="353BFBA3" w:rsidR="005066A7" w:rsidRDefault="005066A7" w:rsidP="005066A7">
            <w:pPr>
              <w:pStyle w:val="Normal1linespace"/>
              <w:widowControl w:val="0"/>
              <w:jc w:val="left"/>
            </w:pPr>
            <w:r>
              <w:t>Australian Government Solicitor</w:t>
            </w:r>
          </w:p>
        </w:tc>
      </w:tr>
      <w:bookmarkEnd w:id="12"/>
    </w:tbl>
    <w:p w14:paraId="3188B3F4" w14:textId="77777777" w:rsidR="007470BD" w:rsidRDefault="007470BD">
      <w:pPr>
        <w:pStyle w:val="Normal1linespace"/>
      </w:pPr>
    </w:p>
    <w:p w14:paraId="646C5B60" w14:textId="77777777" w:rsidR="0077139F" w:rsidRDefault="0077139F">
      <w:pPr>
        <w:pStyle w:val="Normal1linespace"/>
      </w:pPr>
    </w:p>
    <w:p w14:paraId="2BFA5382" w14:textId="77777777" w:rsidR="00395B24" w:rsidRDefault="00395B24">
      <w:pPr>
        <w:pStyle w:val="Normal1linespace"/>
        <w:sectPr w:rsidR="00395B24" w:rsidSect="00E77422">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7" w:h="16840" w:code="9"/>
          <w:pgMar w:top="1440" w:right="1440" w:bottom="1440" w:left="1440" w:header="851" w:footer="768" w:gutter="0"/>
          <w:pgNumType w:start="1"/>
          <w:cols w:space="720"/>
          <w:noEndnote/>
          <w:titlePg/>
        </w:sectPr>
      </w:pPr>
    </w:p>
    <w:p w14:paraId="3D626FB4"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67DA3E79" w14:textId="77777777" w:rsidTr="00E81DA6">
        <w:tc>
          <w:tcPr>
            <w:tcW w:w="6912" w:type="dxa"/>
            <w:gridSpan w:val="2"/>
          </w:tcPr>
          <w:p w14:paraId="04641F31" w14:textId="77777777" w:rsidR="00A46CCC" w:rsidRPr="001765E0" w:rsidRDefault="00A46CCC" w:rsidP="00525A49">
            <w:pPr>
              <w:pStyle w:val="NormalHeadings"/>
            </w:pPr>
          </w:p>
        </w:tc>
        <w:tc>
          <w:tcPr>
            <w:tcW w:w="2330" w:type="dxa"/>
          </w:tcPr>
          <w:p w14:paraId="100D4344" w14:textId="4F695F94" w:rsidR="00A46CCC" w:rsidRDefault="009971DC" w:rsidP="00F92355">
            <w:pPr>
              <w:pStyle w:val="NormalHeadings"/>
              <w:jc w:val="right"/>
            </w:pPr>
            <w:bookmarkStart w:id="13" w:name="FileNo"/>
            <w:r>
              <w:t>WAD 41 of 2024</w:t>
            </w:r>
            <w:bookmarkEnd w:id="13"/>
          </w:p>
        </w:tc>
      </w:tr>
      <w:tr w:rsidR="00A76C13" w14:paraId="7F4A2D2D" w14:textId="77777777">
        <w:tc>
          <w:tcPr>
            <w:tcW w:w="9242" w:type="dxa"/>
            <w:gridSpan w:val="3"/>
          </w:tcPr>
          <w:p w14:paraId="3A9B9FB1" w14:textId="039E1E69" w:rsidR="00A76C13" w:rsidRPr="00A76C13" w:rsidRDefault="009971DC" w:rsidP="009971DC">
            <w:pPr>
              <w:pStyle w:val="NormalHeadings"/>
              <w:jc w:val="left"/>
            </w:pPr>
            <w:bookmarkStart w:id="14" w:name="InTheMatterOf"/>
            <w:r>
              <w:t xml:space="preserve"> </w:t>
            </w:r>
            <w:bookmarkEnd w:id="14"/>
          </w:p>
        </w:tc>
      </w:tr>
      <w:tr w:rsidR="00A46CCC" w14:paraId="12CBF2CD" w14:textId="77777777">
        <w:trPr>
          <w:trHeight w:val="386"/>
        </w:trPr>
        <w:tc>
          <w:tcPr>
            <w:tcW w:w="2376" w:type="dxa"/>
          </w:tcPr>
          <w:p w14:paraId="5BB41C6B" w14:textId="77777777" w:rsidR="00A46CCC" w:rsidRDefault="00A46CCC">
            <w:pPr>
              <w:pStyle w:val="NormalHeadings"/>
              <w:jc w:val="left"/>
              <w:rPr>
                <w:caps/>
                <w:szCs w:val="24"/>
              </w:rPr>
            </w:pPr>
            <w:bookmarkStart w:id="15" w:name="Parties"/>
            <w:r>
              <w:rPr>
                <w:caps/>
                <w:szCs w:val="24"/>
              </w:rPr>
              <w:t>BETWEEN:</w:t>
            </w:r>
          </w:p>
        </w:tc>
        <w:tc>
          <w:tcPr>
            <w:tcW w:w="6866" w:type="dxa"/>
            <w:gridSpan w:val="2"/>
          </w:tcPr>
          <w:p w14:paraId="210DD425" w14:textId="77777777" w:rsidR="009971DC" w:rsidRDefault="009971DC" w:rsidP="009971DC">
            <w:pPr>
              <w:pStyle w:val="NormalHeadings"/>
              <w:jc w:val="left"/>
            </w:pPr>
            <w:bookmarkStart w:id="16" w:name="Applicant"/>
            <w:r>
              <w:t>OLEG VLADIMIROVICH DERIPASKA</w:t>
            </w:r>
          </w:p>
          <w:p w14:paraId="7D8BEA35" w14:textId="77777777" w:rsidR="009971DC" w:rsidRDefault="009971DC" w:rsidP="009971DC">
            <w:pPr>
              <w:pStyle w:val="PartyType"/>
            </w:pPr>
            <w:r>
              <w:t>Appellant</w:t>
            </w:r>
          </w:p>
          <w:bookmarkEnd w:id="16"/>
          <w:p w14:paraId="2EAF3689" w14:textId="2A90514E" w:rsidR="00A46CCC" w:rsidRPr="006555B4" w:rsidRDefault="00A46CCC">
            <w:pPr>
              <w:pStyle w:val="NormalHeadings"/>
              <w:jc w:val="left"/>
            </w:pPr>
          </w:p>
        </w:tc>
      </w:tr>
      <w:tr w:rsidR="00A46CCC" w14:paraId="0FA7776E" w14:textId="77777777">
        <w:trPr>
          <w:trHeight w:val="386"/>
        </w:trPr>
        <w:tc>
          <w:tcPr>
            <w:tcW w:w="2376" w:type="dxa"/>
          </w:tcPr>
          <w:p w14:paraId="352E4B76" w14:textId="77777777" w:rsidR="00A46CCC" w:rsidRDefault="00A46CCC">
            <w:pPr>
              <w:pStyle w:val="NormalHeadings"/>
              <w:jc w:val="left"/>
              <w:rPr>
                <w:caps/>
                <w:szCs w:val="24"/>
              </w:rPr>
            </w:pPr>
            <w:r>
              <w:rPr>
                <w:caps/>
                <w:szCs w:val="24"/>
              </w:rPr>
              <w:t>AND:</w:t>
            </w:r>
          </w:p>
        </w:tc>
        <w:tc>
          <w:tcPr>
            <w:tcW w:w="6866" w:type="dxa"/>
            <w:gridSpan w:val="2"/>
          </w:tcPr>
          <w:p w14:paraId="04334933" w14:textId="77777777" w:rsidR="009971DC" w:rsidRDefault="009971DC" w:rsidP="009971DC">
            <w:pPr>
              <w:pStyle w:val="NormalHeadings"/>
              <w:jc w:val="left"/>
            </w:pPr>
            <w:bookmarkStart w:id="17" w:name="Respondent"/>
            <w:r>
              <w:t>MINISTER FOR FOREIGN AFFAIRS</w:t>
            </w:r>
          </w:p>
          <w:p w14:paraId="17C3F45D" w14:textId="77777777" w:rsidR="009971DC" w:rsidRDefault="009971DC" w:rsidP="009971DC">
            <w:pPr>
              <w:pStyle w:val="PartyType"/>
            </w:pPr>
            <w:r>
              <w:t>Respondent</w:t>
            </w:r>
          </w:p>
          <w:bookmarkEnd w:id="17"/>
          <w:p w14:paraId="00C7E4F7" w14:textId="3E8BE459" w:rsidR="00A46CCC" w:rsidRPr="006555B4" w:rsidRDefault="00A46CCC">
            <w:pPr>
              <w:pStyle w:val="NormalHeadings"/>
              <w:jc w:val="left"/>
            </w:pPr>
          </w:p>
        </w:tc>
      </w:tr>
    </w:tbl>
    <w:p w14:paraId="269D6412"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1399ACCF" w14:textId="77777777">
        <w:tc>
          <w:tcPr>
            <w:tcW w:w="2376" w:type="dxa"/>
          </w:tcPr>
          <w:p w14:paraId="7F14D2DA"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5CE9E241" w14:textId="31E295AB" w:rsidR="00395B24" w:rsidRDefault="009971DC">
            <w:pPr>
              <w:pStyle w:val="NormalHeadings"/>
              <w:jc w:val="left"/>
              <w:rPr>
                <w:caps/>
                <w:szCs w:val="24"/>
              </w:rPr>
            </w:pPr>
            <w:bookmarkStart w:id="20" w:name="Judge"/>
            <w:r>
              <w:rPr>
                <w:caps/>
                <w:szCs w:val="24"/>
              </w:rPr>
              <w:t>WIGNEY, STEWART AND NESKOVCIN JJ</w:t>
            </w:r>
            <w:bookmarkEnd w:id="20"/>
          </w:p>
        </w:tc>
      </w:tr>
      <w:tr w:rsidR="00395B24" w14:paraId="30F0E64C" w14:textId="77777777">
        <w:tc>
          <w:tcPr>
            <w:tcW w:w="2376" w:type="dxa"/>
          </w:tcPr>
          <w:p w14:paraId="098748D6" w14:textId="77777777" w:rsidR="00395B24" w:rsidRDefault="002C7385">
            <w:pPr>
              <w:pStyle w:val="NormalHeadings"/>
              <w:spacing w:after="120"/>
              <w:jc w:val="left"/>
              <w:rPr>
                <w:caps/>
                <w:szCs w:val="24"/>
              </w:rPr>
            </w:pPr>
            <w:r>
              <w:rPr>
                <w:caps/>
                <w:szCs w:val="24"/>
              </w:rPr>
              <w:t>DATE OF ORDER:</w:t>
            </w:r>
          </w:p>
        </w:tc>
        <w:tc>
          <w:tcPr>
            <w:tcW w:w="6866" w:type="dxa"/>
          </w:tcPr>
          <w:p w14:paraId="2601DFBC" w14:textId="39507256" w:rsidR="00395B24" w:rsidRDefault="00996293">
            <w:pPr>
              <w:pStyle w:val="NormalHeadings"/>
              <w:jc w:val="left"/>
              <w:rPr>
                <w:caps/>
                <w:szCs w:val="24"/>
              </w:rPr>
            </w:pPr>
            <w:bookmarkStart w:id="21" w:name="Judgment_Dated"/>
            <w:r>
              <w:rPr>
                <w:caps/>
                <w:szCs w:val="24"/>
              </w:rPr>
              <w:t>27 march 2025</w:t>
            </w:r>
            <w:bookmarkEnd w:id="21"/>
          </w:p>
        </w:tc>
      </w:tr>
    </w:tbl>
    <w:p w14:paraId="24BFB186" w14:textId="77777777" w:rsidR="00395B24" w:rsidRDefault="00395B24">
      <w:pPr>
        <w:pStyle w:val="NormalHeadings"/>
        <w:rPr>
          <w:b w:val="0"/>
        </w:rPr>
      </w:pPr>
    </w:p>
    <w:p w14:paraId="690A3932" w14:textId="77777777" w:rsidR="008D1617" w:rsidRDefault="008D1617">
      <w:pPr>
        <w:pStyle w:val="NormalHeadings"/>
        <w:rPr>
          <w:b w:val="0"/>
        </w:rPr>
      </w:pPr>
    </w:p>
    <w:p w14:paraId="484112FF" w14:textId="77777777" w:rsidR="00395B24" w:rsidRDefault="002C7385">
      <w:pPr>
        <w:pStyle w:val="NormalHeadings"/>
      </w:pPr>
      <w:r>
        <w:t>THE COURT ORDERS THAT:</w:t>
      </w:r>
    </w:p>
    <w:p w14:paraId="0382A6B1" w14:textId="77777777" w:rsidR="007F60DF" w:rsidRDefault="007F60DF" w:rsidP="00243E5E">
      <w:pPr>
        <w:pStyle w:val="NormalHeadings"/>
      </w:pPr>
    </w:p>
    <w:p w14:paraId="464196E9" w14:textId="3BFE27CB" w:rsidR="001A6C52" w:rsidRDefault="00B76E15" w:rsidP="001A6C52">
      <w:pPr>
        <w:pStyle w:val="Order1"/>
      </w:pPr>
      <w:r>
        <w:t>The appeal is dismissed.</w:t>
      </w:r>
    </w:p>
    <w:p w14:paraId="6C3DEB3D" w14:textId="008CF422" w:rsidR="00B2467A" w:rsidRDefault="00B2467A" w:rsidP="00CD5D29">
      <w:pPr>
        <w:pStyle w:val="Order1"/>
      </w:pPr>
      <w:r>
        <w:t xml:space="preserve">The appellant </w:t>
      </w:r>
      <w:proofErr w:type="gramStart"/>
      <w:r>
        <w:t>pay</w:t>
      </w:r>
      <w:proofErr w:type="gramEnd"/>
      <w:r>
        <w:t xml:space="preserve"> the respondent’s costs of and incidental to the appeal.</w:t>
      </w:r>
    </w:p>
    <w:p w14:paraId="3DB8AD6C" w14:textId="77777777" w:rsidR="00B76E15" w:rsidRDefault="00B76E15" w:rsidP="00DC713B">
      <w:pPr>
        <w:pStyle w:val="Order1"/>
        <w:numPr>
          <w:ilvl w:val="0"/>
          <w:numId w:val="0"/>
        </w:numPr>
      </w:pPr>
    </w:p>
    <w:p w14:paraId="5D4754D7" w14:textId="77777777" w:rsidR="001A6C52" w:rsidRDefault="001A6C52" w:rsidP="001A6C52">
      <w:pPr>
        <w:pStyle w:val="BodyText"/>
      </w:pPr>
    </w:p>
    <w:p w14:paraId="148EA109" w14:textId="77777777" w:rsidR="00A431E6" w:rsidRDefault="00A431E6" w:rsidP="001A6C52">
      <w:pPr>
        <w:pStyle w:val="BodyText"/>
      </w:pPr>
    </w:p>
    <w:p w14:paraId="3EC4A372" w14:textId="6F0839AB" w:rsidR="0050309C" w:rsidRDefault="009971DC"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18BF29B4" w14:textId="1E17FAB6" w:rsidR="00CE0C2C" w:rsidRDefault="00CE0C2C">
      <w:pPr>
        <w:spacing w:line="240" w:lineRule="auto"/>
        <w:jc w:val="left"/>
      </w:pPr>
      <w:r>
        <w:br w:type="page"/>
      </w:r>
    </w:p>
    <w:tbl>
      <w:tblPr>
        <w:tblW w:w="9291" w:type="dxa"/>
        <w:tblLook w:val="01E0" w:firstRow="1" w:lastRow="1" w:firstColumn="1" w:lastColumn="1" w:noHBand="0" w:noVBand="0"/>
      </w:tblPr>
      <w:tblGrid>
        <w:gridCol w:w="8291"/>
        <w:gridCol w:w="1000"/>
      </w:tblGrid>
      <w:tr w:rsidR="00A67C4D" w:rsidRPr="00D326DB" w14:paraId="78FF29AD" w14:textId="77777777" w:rsidTr="00A67C4D">
        <w:tc>
          <w:tcPr>
            <w:tcW w:w="8291" w:type="dxa"/>
            <w:shd w:val="clear" w:color="auto" w:fill="auto"/>
          </w:tcPr>
          <w:bookmarkStart w:id="23" w:name="PTOC"/>
          <w:p w14:paraId="1100D338" w14:textId="62C3C01E" w:rsidR="00A67C4D" w:rsidRPr="00A67C4D" w:rsidRDefault="00A67C4D" w:rsidP="00A67C4D">
            <w:pPr>
              <w:pStyle w:val="FTOC1"/>
              <w:tabs>
                <w:tab w:val="clear" w:pos="9072"/>
              </w:tabs>
              <w:rPr>
                <w:lang w:eastAsia="en-AU"/>
              </w:rPr>
            </w:pPr>
            <w:r>
              <w:rPr>
                <w:lang w:eastAsia="en-AU"/>
              </w:rPr>
              <w:lastRenderedPageBreak/>
              <w:fldChar w:fldCharType="begin"/>
            </w:r>
            <w:r>
              <w:rPr>
                <w:lang w:eastAsia="en-AU"/>
              </w:rPr>
              <w:instrText xml:space="preserve"> REF _Ref193875037 \h </w:instrText>
            </w:r>
            <w:r>
              <w:rPr>
                <w:lang w:eastAsia="en-AU"/>
              </w:rPr>
            </w:r>
            <w:r>
              <w:rPr>
                <w:lang w:eastAsia="en-AU"/>
              </w:rPr>
              <w:fldChar w:fldCharType="separate"/>
            </w:r>
            <w:r>
              <w:t>The statutory regime</w:t>
            </w:r>
            <w:r>
              <w:rPr>
                <w:lang w:eastAsia="en-AU"/>
              </w:rPr>
              <w:fldChar w:fldCharType="end"/>
            </w:r>
          </w:p>
        </w:tc>
        <w:tc>
          <w:tcPr>
            <w:tcW w:w="1000" w:type="dxa"/>
            <w:shd w:val="clear" w:color="auto" w:fill="auto"/>
            <w:vAlign w:val="bottom"/>
          </w:tcPr>
          <w:p w14:paraId="67B3D4FF" w14:textId="0AAE27E0" w:rsidR="00A67C4D" w:rsidRDefault="00A67C4D" w:rsidP="00640103">
            <w:pPr>
              <w:spacing w:before="120" w:after="60" w:line="240" w:lineRule="auto"/>
              <w:jc w:val="right"/>
              <w:rPr>
                <w:szCs w:val="24"/>
              </w:rPr>
            </w:pPr>
            <w:r>
              <w:rPr>
                <w:szCs w:val="24"/>
              </w:rPr>
              <w:t>[4]</w:t>
            </w:r>
          </w:p>
        </w:tc>
      </w:tr>
      <w:tr w:rsidR="00A67C4D" w:rsidRPr="00D326DB" w14:paraId="08DA7315" w14:textId="77777777" w:rsidTr="00A67C4D">
        <w:tc>
          <w:tcPr>
            <w:tcW w:w="8291" w:type="dxa"/>
            <w:shd w:val="clear" w:color="auto" w:fill="auto"/>
          </w:tcPr>
          <w:p w14:paraId="68E5A840" w14:textId="5FFA4D80" w:rsidR="00A67C4D" w:rsidRPr="00A67C4D" w:rsidRDefault="00A67C4D" w:rsidP="00A67C4D">
            <w:pPr>
              <w:pStyle w:val="FTOC2"/>
              <w:tabs>
                <w:tab w:val="clear" w:pos="9072"/>
              </w:tabs>
              <w:rPr>
                <w:lang w:eastAsia="en-AU"/>
              </w:rPr>
            </w:pPr>
            <w:r>
              <w:rPr>
                <w:lang w:eastAsia="en-AU"/>
              </w:rPr>
              <w:fldChar w:fldCharType="begin"/>
            </w:r>
            <w:r>
              <w:rPr>
                <w:lang w:eastAsia="en-AU"/>
              </w:rPr>
              <w:instrText xml:space="preserve"> REF _Ref193875038 \h </w:instrText>
            </w:r>
            <w:r>
              <w:rPr>
                <w:lang w:eastAsia="en-AU"/>
              </w:rPr>
            </w:r>
            <w:r>
              <w:rPr>
                <w:lang w:eastAsia="en-AU"/>
              </w:rPr>
              <w:fldChar w:fldCharType="separate"/>
            </w:r>
            <w:r>
              <w:t>The Act</w:t>
            </w:r>
            <w:r>
              <w:rPr>
                <w:lang w:eastAsia="en-AU"/>
              </w:rPr>
              <w:fldChar w:fldCharType="end"/>
            </w:r>
          </w:p>
        </w:tc>
        <w:tc>
          <w:tcPr>
            <w:tcW w:w="1000" w:type="dxa"/>
            <w:shd w:val="clear" w:color="auto" w:fill="auto"/>
            <w:vAlign w:val="bottom"/>
          </w:tcPr>
          <w:p w14:paraId="4D747C89" w14:textId="207C0CF5" w:rsidR="00A67C4D" w:rsidRDefault="00A67C4D" w:rsidP="00640103">
            <w:pPr>
              <w:spacing w:before="120" w:after="60" w:line="240" w:lineRule="auto"/>
              <w:jc w:val="right"/>
              <w:rPr>
                <w:szCs w:val="24"/>
              </w:rPr>
            </w:pPr>
            <w:r>
              <w:rPr>
                <w:szCs w:val="24"/>
              </w:rPr>
              <w:t>[4]</w:t>
            </w:r>
          </w:p>
        </w:tc>
      </w:tr>
      <w:tr w:rsidR="00A67C4D" w:rsidRPr="00D326DB" w14:paraId="5731990B" w14:textId="77777777" w:rsidTr="00A67C4D">
        <w:tc>
          <w:tcPr>
            <w:tcW w:w="8291" w:type="dxa"/>
            <w:shd w:val="clear" w:color="auto" w:fill="auto"/>
          </w:tcPr>
          <w:p w14:paraId="078EC9BB" w14:textId="6C661A10" w:rsidR="00A67C4D" w:rsidRPr="00A67C4D" w:rsidRDefault="00A67C4D" w:rsidP="00A67C4D">
            <w:pPr>
              <w:pStyle w:val="FTOC2"/>
              <w:tabs>
                <w:tab w:val="clear" w:pos="9072"/>
              </w:tabs>
              <w:rPr>
                <w:lang w:eastAsia="en-AU"/>
              </w:rPr>
            </w:pPr>
            <w:r>
              <w:rPr>
                <w:lang w:eastAsia="en-AU"/>
              </w:rPr>
              <w:fldChar w:fldCharType="begin"/>
            </w:r>
            <w:r>
              <w:rPr>
                <w:lang w:eastAsia="en-AU"/>
              </w:rPr>
              <w:instrText xml:space="preserve"> REF _Ref193875039 \h </w:instrText>
            </w:r>
            <w:r>
              <w:rPr>
                <w:lang w:eastAsia="en-AU"/>
              </w:rPr>
            </w:r>
            <w:r>
              <w:rPr>
                <w:lang w:eastAsia="en-AU"/>
              </w:rPr>
              <w:fldChar w:fldCharType="separate"/>
            </w:r>
            <w:r>
              <w:t>The Regulations</w:t>
            </w:r>
            <w:r>
              <w:rPr>
                <w:lang w:eastAsia="en-AU"/>
              </w:rPr>
              <w:fldChar w:fldCharType="end"/>
            </w:r>
          </w:p>
        </w:tc>
        <w:tc>
          <w:tcPr>
            <w:tcW w:w="1000" w:type="dxa"/>
            <w:shd w:val="clear" w:color="auto" w:fill="auto"/>
            <w:vAlign w:val="bottom"/>
          </w:tcPr>
          <w:p w14:paraId="0BDDCDEC" w14:textId="2402C2F6" w:rsidR="00A67C4D" w:rsidRDefault="00A67C4D" w:rsidP="00640103">
            <w:pPr>
              <w:spacing w:before="120" w:after="60" w:line="240" w:lineRule="auto"/>
              <w:jc w:val="right"/>
              <w:rPr>
                <w:szCs w:val="24"/>
              </w:rPr>
            </w:pPr>
            <w:r>
              <w:rPr>
                <w:szCs w:val="24"/>
              </w:rPr>
              <w:t>[10]</w:t>
            </w:r>
          </w:p>
        </w:tc>
      </w:tr>
      <w:tr w:rsidR="00A67C4D" w:rsidRPr="00D326DB" w14:paraId="365B1EBD" w14:textId="77777777" w:rsidTr="00A67C4D">
        <w:tc>
          <w:tcPr>
            <w:tcW w:w="8291" w:type="dxa"/>
            <w:shd w:val="clear" w:color="auto" w:fill="auto"/>
          </w:tcPr>
          <w:p w14:paraId="3C135E7C" w14:textId="751E0065" w:rsidR="00A67C4D" w:rsidRPr="00A67C4D" w:rsidRDefault="00A67C4D" w:rsidP="00A67C4D">
            <w:pPr>
              <w:pStyle w:val="FTOC2"/>
              <w:tabs>
                <w:tab w:val="clear" w:pos="9072"/>
              </w:tabs>
              <w:rPr>
                <w:lang w:eastAsia="en-AU"/>
              </w:rPr>
            </w:pPr>
            <w:r>
              <w:rPr>
                <w:lang w:eastAsia="en-AU"/>
              </w:rPr>
              <w:fldChar w:fldCharType="begin"/>
            </w:r>
            <w:r>
              <w:rPr>
                <w:lang w:eastAsia="en-AU"/>
              </w:rPr>
              <w:instrText xml:space="preserve"> REF _Ref193875040 \h </w:instrText>
            </w:r>
            <w:r>
              <w:rPr>
                <w:lang w:eastAsia="en-AU"/>
              </w:rPr>
            </w:r>
            <w:r>
              <w:rPr>
                <w:lang w:eastAsia="en-AU"/>
              </w:rPr>
              <w:fldChar w:fldCharType="separate"/>
            </w:r>
            <w:r>
              <w:t>Instruments of designation and declaration</w:t>
            </w:r>
            <w:r>
              <w:rPr>
                <w:lang w:eastAsia="en-AU"/>
              </w:rPr>
              <w:fldChar w:fldCharType="end"/>
            </w:r>
          </w:p>
        </w:tc>
        <w:tc>
          <w:tcPr>
            <w:tcW w:w="1000" w:type="dxa"/>
            <w:shd w:val="clear" w:color="auto" w:fill="auto"/>
            <w:vAlign w:val="bottom"/>
          </w:tcPr>
          <w:p w14:paraId="4E1C7FAE" w14:textId="1B020BE5" w:rsidR="00A67C4D" w:rsidRDefault="00A67C4D" w:rsidP="00640103">
            <w:pPr>
              <w:spacing w:before="120" w:after="60" w:line="240" w:lineRule="auto"/>
              <w:jc w:val="right"/>
              <w:rPr>
                <w:szCs w:val="24"/>
              </w:rPr>
            </w:pPr>
            <w:r>
              <w:rPr>
                <w:szCs w:val="24"/>
              </w:rPr>
              <w:t>[20]</w:t>
            </w:r>
          </w:p>
        </w:tc>
      </w:tr>
      <w:tr w:rsidR="00A67C4D" w:rsidRPr="00D326DB" w14:paraId="79FA32BA" w14:textId="77777777" w:rsidTr="00A67C4D">
        <w:tc>
          <w:tcPr>
            <w:tcW w:w="8291" w:type="dxa"/>
            <w:shd w:val="clear" w:color="auto" w:fill="auto"/>
          </w:tcPr>
          <w:p w14:paraId="12B5A3D4" w14:textId="1BF0CE42" w:rsidR="00A67C4D" w:rsidRPr="00A67C4D" w:rsidRDefault="00A67C4D" w:rsidP="00A67C4D">
            <w:pPr>
              <w:pStyle w:val="FTOC2"/>
              <w:tabs>
                <w:tab w:val="clear" w:pos="9072"/>
              </w:tabs>
              <w:rPr>
                <w:lang w:eastAsia="en-AU"/>
              </w:rPr>
            </w:pPr>
            <w:r>
              <w:rPr>
                <w:lang w:eastAsia="en-AU"/>
              </w:rPr>
              <w:fldChar w:fldCharType="begin"/>
            </w:r>
            <w:r>
              <w:rPr>
                <w:lang w:eastAsia="en-AU"/>
              </w:rPr>
              <w:instrText xml:space="preserve"> REF _Ref193875041 \h </w:instrText>
            </w:r>
            <w:r>
              <w:rPr>
                <w:lang w:eastAsia="en-AU"/>
              </w:rPr>
            </w:r>
            <w:r>
              <w:rPr>
                <w:lang w:eastAsia="en-AU"/>
              </w:rPr>
              <w:fldChar w:fldCharType="separate"/>
            </w:r>
            <w:r>
              <w:t>Permits</w:t>
            </w:r>
            <w:r>
              <w:rPr>
                <w:lang w:eastAsia="en-AU"/>
              </w:rPr>
              <w:fldChar w:fldCharType="end"/>
            </w:r>
          </w:p>
        </w:tc>
        <w:tc>
          <w:tcPr>
            <w:tcW w:w="1000" w:type="dxa"/>
            <w:shd w:val="clear" w:color="auto" w:fill="auto"/>
            <w:vAlign w:val="bottom"/>
          </w:tcPr>
          <w:p w14:paraId="5D5AA85F" w14:textId="00257925" w:rsidR="00A67C4D" w:rsidRDefault="00A67C4D" w:rsidP="00640103">
            <w:pPr>
              <w:spacing w:before="120" w:after="60" w:line="240" w:lineRule="auto"/>
              <w:jc w:val="right"/>
              <w:rPr>
                <w:szCs w:val="24"/>
              </w:rPr>
            </w:pPr>
            <w:r>
              <w:rPr>
                <w:szCs w:val="24"/>
              </w:rPr>
              <w:t>[28]</w:t>
            </w:r>
          </w:p>
        </w:tc>
      </w:tr>
      <w:tr w:rsidR="00A67C4D" w:rsidRPr="00D326DB" w14:paraId="285BA9CF" w14:textId="77777777" w:rsidTr="00A67C4D">
        <w:tc>
          <w:tcPr>
            <w:tcW w:w="8291" w:type="dxa"/>
            <w:shd w:val="clear" w:color="auto" w:fill="auto"/>
          </w:tcPr>
          <w:p w14:paraId="3D87ECE2" w14:textId="0B19D1A5" w:rsidR="00A67C4D" w:rsidRPr="00A67C4D" w:rsidRDefault="00A67C4D" w:rsidP="00A67C4D">
            <w:pPr>
              <w:pStyle w:val="FTOC1"/>
              <w:tabs>
                <w:tab w:val="clear" w:pos="9072"/>
              </w:tabs>
              <w:rPr>
                <w:lang w:eastAsia="en-AU"/>
              </w:rPr>
            </w:pPr>
            <w:r>
              <w:rPr>
                <w:lang w:eastAsia="en-AU"/>
              </w:rPr>
              <w:fldChar w:fldCharType="begin"/>
            </w:r>
            <w:r>
              <w:rPr>
                <w:lang w:eastAsia="en-AU"/>
              </w:rPr>
              <w:instrText xml:space="preserve"> REF _Ref193875042 \h </w:instrText>
            </w:r>
            <w:r>
              <w:rPr>
                <w:lang w:eastAsia="en-AU"/>
              </w:rPr>
            </w:r>
            <w:r>
              <w:rPr>
                <w:lang w:eastAsia="en-AU"/>
              </w:rPr>
              <w:fldChar w:fldCharType="separate"/>
            </w:r>
            <w:r>
              <w:t>Common ground</w:t>
            </w:r>
            <w:r>
              <w:rPr>
                <w:lang w:eastAsia="en-AU"/>
              </w:rPr>
              <w:fldChar w:fldCharType="end"/>
            </w:r>
          </w:p>
        </w:tc>
        <w:tc>
          <w:tcPr>
            <w:tcW w:w="1000" w:type="dxa"/>
            <w:shd w:val="clear" w:color="auto" w:fill="auto"/>
            <w:vAlign w:val="bottom"/>
          </w:tcPr>
          <w:p w14:paraId="22977B23" w14:textId="788C5BFD" w:rsidR="00A67C4D" w:rsidRDefault="00A67C4D" w:rsidP="00640103">
            <w:pPr>
              <w:spacing w:before="120" w:after="60" w:line="240" w:lineRule="auto"/>
              <w:jc w:val="right"/>
              <w:rPr>
                <w:szCs w:val="24"/>
              </w:rPr>
            </w:pPr>
            <w:r>
              <w:rPr>
                <w:szCs w:val="24"/>
              </w:rPr>
              <w:t>[32]</w:t>
            </w:r>
          </w:p>
        </w:tc>
      </w:tr>
      <w:tr w:rsidR="00A67C4D" w:rsidRPr="00D326DB" w14:paraId="1D1C0B4E" w14:textId="77777777" w:rsidTr="00A67C4D">
        <w:tc>
          <w:tcPr>
            <w:tcW w:w="8291" w:type="dxa"/>
            <w:shd w:val="clear" w:color="auto" w:fill="auto"/>
          </w:tcPr>
          <w:p w14:paraId="27050BD2" w14:textId="0ACB090A" w:rsidR="00A67C4D" w:rsidRPr="00A67C4D" w:rsidRDefault="00A67C4D" w:rsidP="00A67C4D">
            <w:pPr>
              <w:pStyle w:val="FTOC1"/>
              <w:tabs>
                <w:tab w:val="clear" w:pos="9072"/>
              </w:tabs>
              <w:rPr>
                <w:lang w:eastAsia="en-AU"/>
              </w:rPr>
            </w:pPr>
            <w:r>
              <w:rPr>
                <w:lang w:eastAsia="en-AU"/>
              </w:rPr>
              <w:fldChar w:fldCharType="begin"/>
            </w:r>
            <w:r>
              <w:rPr>
                <w:lang w:eastAsia="en-AU"/>
              </w:rPr>
              <w:instrText xml:space="preserve"> REF _Ref193875043 \h </w:instrText>
            </w:r>
            <w:r>
              <w:rPr>
                <w:lang w:eastAsia="en-AU"/>
              </w:rPr>
            </w:r>
            <w:r>
              <w:rPr>
                <w:lang w:eastAsia="en-AU"/>
              </w:rPr>
              <w:fldChar w:fldCharType="separate"/>
            </w:r>
            <w:r>
              <w:t>THE REASONS OF THE PRIMARY JUDGE</w:t>
            </w:r>
            <w:r>
              <w:rPr>
                <w:lang w:eastAsia="en-AU"/>
              </w:rPr>
              <w:fldChar w:fldCharType="end"/>
            </w:r>
          </w:p>
        </w:tc>
        <w:tc>
          <w:tcPr>
            <w:tcW w:w="1000" w:type="dxa"/>
            <w:shd w:val="clear" w:color="auto" w:fill="auto"/>
            <w:vAlign w:val="bottom"/>
          </w:tcPr>
          <w:p w14:paraId="07A341B2" w14:textId="2A267D0E" w:rsidR="00A67C4D" w:rsidRDefault="00A67C4D" w:rsidP="00640103">
            <w:pPr>
              <w:spacing w:before="120" w:after="60" w:line="240" w:lineRule="auto"/>
              <w:jc w:val="right"/>
              <w:rPr>
                <w:szCs w:val="24"/>
              </w:rPr>
            </w:pPr>
            <w:r>
              <w:rPr>
                <w:szCs w:val="24"/>
              </w:rPr>
              <w:t>[37]</w:t>
            </w:r>
          </w:p>
        </w:tc>
      </w:tr>
      <w:tr w:rsidR="00A67C4D" w:rsidRPr="00D326DB" w14:paraId="0C98B67F" w14:textId="77777777" w:rsidTr="00A67C4D">
        <w:tc>
          <w:tcPr>
            <w:tcW w:w="8291" w:type="dxa"/>
            <w:shd w:val="clear" w:color="auto" w:fill="auto"/>
          </w:tcPr>
          <w:p w14:paraId="5F842187" w14:textId="7E009DDF" w:rsidR="00A67C4D" w:rsidRPr="00A67C4D" w:rsidRDefault="00A67C4D" w:rsidP="00A67C4D">
            <w:pPr>
              <w:pStyle w:val="FTOC2"/>
              <w:tabs>
                <w:tab w:val="clear" w:pos="9072"/>
              </w:tabs>
              <w:rPr>
                <w:lang w:eastAsia="en-AU"/>
              </w:rPr>
            </w:pPr>
            <w:r>
              <w:rPr>
                <w:lang w:eastAsia="en-AU"/>
              </w:rPr>
              <w:fldChar w:fldCharType="begin"/>
            </w:r>
            <w:r>
              <w:rPr>
                <w:lang w:eastAsia="en-AU"/>
              </w:rPr>
              <w:instrText xml:space="preserve"> REF _Ref193875044 \h </w:instrText>
            </w:r>
            <w:r>
              <w:rPr>
                <w:lang w:eastAsia="en-AU"/>
              </w:rPr>
            </w:r>
            <w:r>
              <w:rPr>
                <w:lang w:eastAsia="en-AU"/>
              </w:rPr>
              <w:fldChar w:fldCharType="separate"/>
            </w:r>
            <w:r w:rsidRPr="00B82A6B">
              <w:t>“Reading down”</w:t>
            </w:r>
            <w:r>
              <w:rPr>
                <w:lang w:eastAsia="en-AU"/>
              </w:rPr>
              <w:fldChar w:fldCharType="end"/>
            </w:r>
          </w:p>
        </w:tc>
        <w:tc>
          <w:tcPr>
            <w:tcW w:w="1000" w:type="dxa"/>
            <w:shd w:val="clear" w:color="auto" w:fill="auto"/>
            <w:vAlign w:val="bottom"/>
          </w:tcPr>
          <w:p w14:paraId="6B07280F" w14:textId="78B56B25" w:rsidR="00A67C4D" w:rsidRDefault="00A67C4D" w:rsidP="00640103">
            <w:pPr>
              <w:spacing w:before="120" w:after="60" w:line="240" w:lineRule="auto"/>
              <w:jc w:val="right"/>
              <w:rPr>
                <w:szCs w:val="24"/>
              </w:rPr>
            </w:pPr>
            <w:r>
              <w:rPr>
                <w:szCs w:val="24"/>
              </w:rPr>
              <w:t>[39]</w:t>
            </w:r>
          </w:p>
        </w:tc>
      </w:tr>
      <w:tr w:rsidR="00A67C4D" w:rsidRPr="00D326DB" w14:paraId="2B4B4F30" w14:textId="77777777" w:rsidTr="00A67C4D">
        <w:tc>
          <w:tcPr>
            <w:tcW w:w="8291" w:type="dxa"/>
            <w:shd w:val="clear" w:color="auto" w:fill="auto"/>
          </w:tcPr>
          <w:p w14:paraId="1F5643CB" w14:textId="251C0F72" w:rsidR="00A67C4D" w:rsidRPr="00A67C4D" w:rsidRDefault="00A67C4D" w:rsidP="00A67C4D">
            <w:pPr>
              <w:pStyle w:val="FTOC3"/>
              <w:tabs>
                <w:tab w:val="clear" w:pos="9072"/>
              </w:tabs>
              <w:rPr>
                <w:i w:val="0"/>
                <w:lang w:eastAsia="en-AU"/>
              </w:rPr>
            </w:pPr>
            <w:r>
              <w:rPr>
                <w:lang w:eastAsia="en-AU"/>
              </w:rPr>
              <w:fldChar w:fldCharType="begin"/>
            </w:r>
            <w:r>
              <w:rPr>
                <w:lang w:eastAsia="en-AU"/>
              </w:rPr>
              <w:instrText xml:space="preserve"> REF _Ref193875045 \h </w:instrText>
            </w:r>
            <w:r>
              <w:rPr>
                <w:lang w:eastAsia="en-AU"/>
              </w:rPr>
            </w:r>
            <w:r>
              <w:rPr>
                <w:lang w:eastAsia="en-AU"/>
              </w:rPr>
              <w:fldChar w:fldCharType="separate"/>
            </w:r>
            <w:r w:rsidRPr="009F1E9F">
              <w:t>Federal jurisdiction</w:t>
            </w:r>
            <w:r>
              <w:rPr>
                <w:lang w:eastAsia="en-AU"/>
              </w:rPr>
              <w:fldChar w:fldCharType="end"/>
            </w:r>
          </w:p>
        </w:tc>
        <w:tc>
          <w:tcPr>
            <w:tcW w:w="1000" w:type="dxa"/>
            <w:shd w:val="clear" w:color="auto" w:fill="auto"/>
            <w:vAlign w:val="bottom"/>
          </w:tcPr>
          <w:p w14:paraId="4B738F3F" w14:textId="408949FA" w:rsidR="00A67C4D" w:rsidRDefault="00A67C4D" w:rsidP="00640103">
            <w:pPr>
              <w:spacing w:before="120" w:after="60" w:line="240" w:lineRule="auto"/>
              <w:jc w:val="right"/>
              <w:rPr>
                <w:szCs w:val="24"/>
              </w:rPr>
            </w:pPr>
            <w:r>
              <w:rPr>
                <w:szCs w:val="24"/>
              </w:rPr>
              <w:t>[51]</w:t>
            </w:r>
          </w:p>
        </w:tc>
      </w:tr>
      <w:tr w:rsidR="00A67C4D" w:rsidRPr="00D326DB" w14:paraId="16BE4342" w14:textId="77777777" w:rsidTr="00A67C4D">
        <w:tc>
          <w:tcPr>
            <w:tcW w:w="8291" w:type="dxa"/>
            <w:shd w:val="clear" w:color="auto" w:fill="auto"/>
          </w:tcPr>
          <w:p w14:paraId="489C6D40" w14:textId="42E55349" w:rsidR="00A67C4D" w:rsidRPr="00A67C4D" w:rsidRDefault="00A67C4D" w:rsidP="00A67C4D">
            <w:pPr>
              <w:pStyle w:val="FTOC3"/>
              <w:tabs>
                <w:tab w:val="clear" w:pos="9072"/>
              </w:tabs>
              <w:rPr>
                <w:i w:val="0"/>
                <w:lang w:eastAsia="en-AU"/>
              </w:rPr>
            </w:pPr>
            <w:r>
              <w:rPr>
                <w:lang w:eastAsia="en-AU"/>
              </w:rPr>
              <w:fldChar w:fldCharType="begin"/>
            </w:r>
            <w:r>
              <w:rPr>
                <w:lang w:eastAsia="en-AU"/>
              </w:rPr>
              <w:instrText xml:space="preserve"> REF _Ref193875046 \h </w:instrText>
            </w:r>
            <w:r>
              <w:rPr>
                <w:lang w:eastAsia="en-AU"/>
              </w:rPr>
            </w:r>
            <w:r>
              <w:rPr>
                <w:lang w:eastAsia="en-AU"/>
              </w:rPr>
              <w:fldChar w:fldCharType="separate"/>
            </w:r>
            <w:r w:rsidRPr="00E95AFA">
              <w:t xml:space="preserve">Judicial </w:t>
            </w:r>
            <w:r>
              <w:t>r</w:t>
            </w:r>
            <w:r w:rsidRPr="00E95AFA">
              <w:t>eview grounds</w:t>
            </w:r>
            <w:r>
              <w:rPr>
                <w:lang w:eastAsia="en-AU"/>
              </w:rPr>
              <w:fldChar w:fldCharType="end"/>
            </w:r>
          </w:p>
        </w:tc>
        <w:tc>
          <w:tcPr>
            <w:tcW w:w="1000" w:type="dxa"/>
            <w:shd w:val="clear" w:color="auto" w:fill="auto"/>
            <w:vAlign w:val="bottom"/>
          </w:tcPr>
          <w:p w14:paraId="3417F928" w14:textId="72B8DD20" w:rsidR="00A67C4D" w:rsidRDefault="00A67C4D" w:rsidP="00640103">
            <w:pPr>
              <w:spacing w:before="120" w:after="60" w:line="240" w:lineRule="auto"/>
              <w:jc w:val="right"/>
              <w:rPr>
                <w:szCs w:val="24"/>
              </w:rPr>
            </w:pPr>
            <w:r>
              <w:rPr>
                <w:szCs w:val="24"/>
              </w:rPr>
              <w:t>[53]</w:t>
            </w:r>
          </w:p>
        </w:tc>
      </w:tr>
      <w:tr w:rsidR="00A67C4D" w:rsidRPr="00D326DB" w14:paraId="7080666F" w14:textId="77777777" w:rsidTr="00A67C4D">
        <w:tc>
          <w:tcPr>
            <w:tcW w:w="8291" w:type="dxa"/>
            <w:shd w:val="clear" w:color="auto" w:fill="auto"/>
          </w:tcPr>
          <w:p w14:paraId="54B13BA6" w14:textId="1AFCFF44" w:rsidR="00A67C4D" w:rsidRPr="00A67C4D" w:rsidRDefault="00A67C4D" w:rsidP="00A67C4D">
            <w:pPr>
              <w:pStyle w:val="FTOC4"/>
              <w:tabs>
                <w:tab w:val="clear" w:pos="9072"/>
              </w:tabs>
              <w:rPr>
                <w:i w:val="0"/>
                <w:lang w:eastAsia="en-AU"/>
              </w:rPr>
            </w:pPr>
            <w:r>
              <w:rPr>
                <w:lang w:eastAsia="en-AU"/>
              </w:rPr>
              <w:fldChar w:fldCharType="begin"/>
            </w:r>
            <w:r>
              <w:rPr>
                <w:lang w:eastAsia="en-AU"/>
              </w:rPr>
              <w:instrText xml:space="preserve"> REF _Ref193875047 \h </w:instrText>
            </w:r>
            <w:r>
              <w:rPr>
                <w:lang w:eastAsia="en-AU"/>
              </w:rPr>
            </w:r>
            <w:r>
              <w:rPr>
                <w:lang w:eastAsia="en-AU"/>
              </w:rPr>
              <w:fldChar w:fldCharType="separate"/>
            </w:r>
            <w:r>
              <w:t>The broader argument</w:t>
            </w:r>
            <w:r>
              <w:rPr>
                <w:lang w:eastAsia="en-AU"/>
              </w:rPr>
              <w:fldChar w:fldCharType="end"/>
            </w:r>
          </w:p>
        </w:tc>
        <w:tc>
          <w:tcPr>
            <w:tcW w:w="1000" w:type="dxa"/>
            <w:shd w:val="clear" w:color="auto" w:fill="auto"/>
            <w:vAlign w:val="bottom"/>
          </w:tcPr>
          <w:p w14:paraId="2E4A392E" w14:textId="76D98680" w:rsidR="00A67C4D" w:rsidRDefault="00A67C4D" w:rsidP="00640103">
            <w:pPr>
              <w:spacing w:before="120" w:after="60" w:line="240" w:lineRule="auto"/>
              <w:jc w:val="right"/>
              <w:rPr>
                <w:szCs w:val="24"/>
              </w:rPr>
            </w:pPr>
            <w:r>
              <w:rPr>
                <w:szCs w:val="24"/>
              </w:rPr>
              <w:t>[56]</w:t>
            </w:r>
          </w:p>
        </w:tc>
      </w:tr>
      <w:tr w:rsidR="00A67C4D" w:rsidRPr="00D326DB" w14:paraId="2AFBD8A3" w14:textId="77777777" w:rsidTr="00A67C4D">
        <w:tc>
          <w:tcPr>
            <w:tcW w:w="8291" w:type="dxa"/>
            <w:shd w:val="clear" w:color="auto" w:fill="auto"/>
          </w:tcPr>
          <w:p w14:paraId="0F46DD8C" w14:textId="0EC30831" w:rsidR="00A67C4D" w:rsidRPr="00A67C4D" w:rsidRDefault="00A67C4D" w:rsidP="00A67C4D">
            <w:pPr>
              <w:pStyle w:val="FTOC4"/>
              <w:tabs>
                <w:tab w:val="clear" w:pos="9072"/>
              </w:tabs>
              <w:rPr>
                <w:i w:val="0"/>
                <w:lang w:eastAsia="en-AU"/>
              </w:rPr>
            </w:pPr>
            <w:r>
              <w:rPr>
                <w:lang w:eastAsia="en-AU"/>
              </w:rPr>
              <w:fldChar w:fldCharType="begin"/>
            </w:r>
            <w:r>
              <w:rPr>
                <w:lang w:eastAsia="en-AU"/>
              </w:rPr>
              <w:instrText xml:space="preserve"> REF _Ref193875048 \h </w:instrText>
            </w:r>
            <w:r>
              <w:rPr>
                <w:lang w:eastAsia="en-AU"/>
              </w:rPr>
            </w:r>
            <w:r>
              <w:rPr>
                <w:lang w:eastAsia="en-AU"/>
              </w:rPr>
              <w:fldChar w:fldCharType="separate"/>
            </w:r>
            <w:r>
              <w:t>The narrower argument</w:t>
            </w:r>
            <w:r>
              <w:rPr>
                <w:lang w:eastAsia="en-AU"/>
              </w:rPr>
              <w:fldChar w:fldCharType="end"/>
            </w:r>
          </w:p>
        </w:tc>
        <w:tc>
          <w:tcPr>
            <w:tcW w:w="1000" w:type="dxa"/>
            <w:shd w:val="clear" w:color="auto" w:fill="auto"/>
            <w:vAlign w:val="bottom"/>
          </w:tcPr>
          <w:p w14:paraId="2CAE04D3" w14:textId="6B1DE6C3" w:rsidR="00A67C4D" w:rsidRDefault="00A67C4D" w:rsidP="00640103">
            <w:pPr>
              <w:spacing w:before="120" w:after="60" w:line="240" w:lineRule="auto"/>
              <w:jc w:val="right"/>
              <w:rPr>
                <w:szCs w:val="24"/>
              </w:rPr>
            </w:pPr>
            <w:r>
              <w:rPr>
                <w:szCs w:val="24"/>
              </w:rPr>
              <w:t>[59]</w:t>
            </w:r>
          </w:p>
        </w:tc>
      </w:tr>
      <w:tr w:rsidR="00A67C4D" w:rsidRPr="00D326DB" w14:paraId="1EDD7D73" w14:textId="77777777" w:rsidTr="00A67C4D">
        <w:tc>
          <w:tcPr>
            <w:tcW w:w="8291" w:type="dxa"/>
            <w:shd w:val="clear" w:color="auto" w:fill="auto"/>
          </w:tcPr>
          <w:p w14:paraId="04920213" w14:textId="25EC905F" w:rsidR="00A67C4D" w:rsidRPr="00A67C4D" w:rsidRDefault="00A67C4D" w:rsidP="00A67C4D">
            <w:pPr>
              <w:pStyle w:val="FTOC1"/>
              <w:tabs>
                <w:tab w:val="clear" w:pos="9072"/>
              </w:tabs>
              <w:rPr>
                <w:lang w:eastAsia="en-AU"/>
              </w:rPr>
            </w:pPr>
            <w:r>
              <w:rPr>
                <w:lang w:eastAsia="en-AU"/>
              </w:rPr>
              <w:fldChar w:fldCharType="begin"/>
            </w:r>
            <w:r>
              <w:rPr>
                <w:lang w:eastAsia="en-AU"/>
              </w:rPr>
              <w:instrText xml:space="preserve"> REF _Ref193875049 \h </w:instrText>
            </w:r>
            <w:r>
              <w:rPr>
                <w:lang w:eastAsia="en-AU"/>
              </w:rPr>
            </w:r>
            <w:r>
              <w:rPr>
                <w:lang w:eastAsia="en-AU"/>
              </w:rPr>
              <w:fldChar w:fldCharType="separate"/>
            </w:r>
            <w:r>
              <w:t>Determination</w:t>
            </w:r>
            <w:r>
              <w:rPr>
                <w:lang w:eastAsia="en-AU"/>
              </w:rPr>
              <w:fldChar w:fldCharType="end"/>
            </w:r>
          </w:p>
        </w:tc>
        <w:tc>
          <w:tcPr>
            <w:tcW w:w="1000" w:type="dxa"/>
            <w:shd w:val="clear" w:color="auto" w:fill="auto"/>
            <w:vAlign w:val="bottom"/>
          </w:tcPr>
          <w:p w14:paraId="706647CD" w14:textId="7F6B4647" w:rsidR="00A67C4D" w:rsidRDefault="00A67C4D" w:rsidP="00640103">
            <w:pPr>
              <w:spacing w:before="120" w:after="60" w:line="240" w:lineRule="auto"/>
              <w:jc w:val="right"/>
              <w:rPr>
                <w:szCs w:val="24"/>
              </w:rPr>
            </w:pPr>
            <w:r>
              <w:rPr>
                <w:szCs w:val="24"/>
              </w:rPr>
              <w:t>[63]</w:t>
            </w:r>
          </w:p>
        </w:tc>
      </w:tr>
      <w:tr w:rsidR="00A67C4D" w:rsidRPr="00D326DB" w14:paraId="19C65285" w14:textId="77777777" w:rsidTr="00A67C4D">
        <w:tc>
          <w:tcPr>
            <w:tcW w:w="8291" w:type="dxa"/>
            <w:shd w:val="clear" w:color="auto" w:fill="auto"/>
          </w:tcPr>
          <w:p w14:paraId="4BDA3451" w14:textId="3F44B109" w:rsidR="00A67C4D" w:rsidRPr="00A67C4D" w:rsidRDefault="00A67C4D" w:rsidP="00A67C4D">
            <w:pPr>
              <w:pStyle w:val="FTOC2"/>
              <w:tabs>
                <w:tab w:val="clear" w:pos="9072"/>
              </w:tabs>
              <w:rPr>
                <w:lang w:eastAsia="en-AU"/>
              </w:rPr>
            </w:pPr>
            <w:r>
              <w:rPr>
                <w:lang w:eastAsia="en-AU"/>
              </w:rPr>
              <w:fldChar w:fldCharType="begin"/>
            </w:r>
            <w:r>
              <w:rPr>
                <w:lang w:eastAsia="en-AU"/>
              </w:rPr>
              <w:instrText xml:space="preserve"> REF _Ref193875044 \h </w:instrText>
            </w:r>
            <w:r>
              <w:rPr>
                <w:lang w:eastAsia="en-AU"/>
              </w:rPr>
            </w:r>
            <w:r>
              <w:rPr>
                <w:lang w:eastAsia="en-AU"/>
              </w:rPr>
              <w:fldChar w:fldCharType="separate"/>
            </w:r>
            <w:r w:rsidRPr="00B82A6B">
              <w:t>“Reading down”</w:t>
            </w:r>
            <w:r>
              <w:rPr>
                <w:lang w:eastAsia="en-AU"/>
              </w:rPr>
              <w:fldChar w:fldCharType="end"/>
            </w:r>
          </w:p>
        </w:tc>
        <w:tc>
          <w:tcPr>
            <w:tcW w:w="1000" w:type="dxa"/>
            <w:shd w:val="clear" w:color="auto" w:fill="auto"/>
            <w:vAlign w:val="bottom"/>
          </w:tcPr>
          <w:p w14:paraId="0D15D62E" w14:textId="4948880D" w:rsidR="00A67C4D" w:rsidRDefault="00A67C4D" w:rsidP="00640103">
            <w:pPr>
              <w:spacing w:before="120" w:after="60" w:line="240" w:lineRule="auto"/>
              <w:jc w:val="right"/>
              <w:rPr>
                <w:szCs w:val="24"/>
              </w:rPr>
            </w:pPr>
            <w:r>
              <w:rPr>
                <w:szCs w:val="24"/>
              </w:rPr>
              <w:t>[63]</w:t>
            </w:r>
          </w:p>
        </w:tc>
      </w:tr>
      <w:tr w:rsidR="00A67C4D" w:rsidRPr="00D326DB" w14:paraId="0B353CE7" w14:textId="77777777" w:rsidTr="00A67C4D">
        <w:tc>
          <w:tcPr>
            <w:tcW w:w="8291" w:type="dxa"/>
            <w:shd w:val="clear" w:color="auto" w:fill="auto"/>
          </w:tcPr>
          <w:p w14:paraId="2D5AD1B7" w14:textId="34AA80FE" w:rsidR="00A67C4D" w:rsidRPr="00A67C4D" w:rsidRDefault="00A67C4D" w:rsidP="00A67C4D">
            <w:pPr>
              <w:pStyle w:val="FTOC2"/>
              <w:tabs>
                <w:tab w:val="clear" w:pos="9072"/>
              </w:tabs>
              <w:rPr>
                <w:lang w:eastAsia="en-AU"/>
              </w:rPr>
            </w:pPr>
            <w:r>
              <w:rPr>
                <w:lang w:eastAsia="en-AU"/>
              </w:rPr>
              <w:fldChar w:fldCharType="begin"/>
            </w:r>
            <w:r>
              <w:rPr>
                <w:lang w:eastAsia="en-AU"/>
              </w:rPr>
              <w:instrText xml:space="preserve"> REF _Ref193875050 \h </w:instrText>
            </w:r>
            <w:r>
              <w:rPr>
                <w:lang w:eastAsia="en-AU"/>
              </w:rPr>
            </w:r>
            <w:r>
              <w:rPr>
                <w:lang w:eastAsia="en-AU"/>
              </w:rPr>
              <w:fldChar w:fldCharType="separate"/>
            </w:r>
            <w:r>
              <w:t>The broader Ch III argument [ANOA Grounds 1, 4, 5 and 6]</w:t>
            </w:r>
            <w:r>
              <w:rPr>
                <w:lang w:eastAsia="en-AU"/>
              </w:rPr>
              <w:fldChar w:fldCharType="end"/>
            </w:r>
          </w:p>
        </w:tc>
        <w:tc>
          <w:tcPr>
            <w:tcW w:w="1000" w:type="dxa"/>
            <w:shd w:val="clear" w:color="auto" w:fill="auto"/>
            <w:vAlign w:val="bottom"/>
          </w:tcPr>
          <w:p w14:paraId="102C368B" w14:textId="0C236805" w:rsidR="00A67C4D" w:rsidRDefault="00A67C4D" w:rsidP="00640103">
            <w:pPr>
              <w:spacing w:before="120" w:after="60" w:line="240" w:lineRule="auto"/>
              <w:jc w:val="right"/>
              <w:rPr>
                <w:szCs w:val="24"/>
              </w:rPr>
            </w:pPr>
            <w:r>
              <w:rPr>
                <w:szCs w:val="24"/>
              </w:rPr>
              <w:t>[93]</w:t>
            </w:r>
          </w:p>
        </w:tc>
      </w:tr>
      <w:tr w:rsidR="00A67C4D" w:rsidRPr="00D326DB" w14:paraId="2D992C79" w14:textId="77777777" w:rsidTr="00A67C4D">
        <w:tc>
          <w:tcPr>
            <w:tcW w:w="8291" w:type="dxa"/>
            <w:shd w:val="clear" w:color="auto" w:fill="auto"/>
          </w:tcPr>
          <w:p w14:paraId="3353307D" w14:textId="799FCC5C" w:rsidR="00A67C4D" w:rsidRPr="00A67C4D" w:rsidRDefault="00A67C4D" w:rsidP="00A67C4D">
            <w:pPr>
              <w:pStyle w:val="FTOC2"/>
              <w:tabs>
                <w:tab w:val="clear" w:pos="9072"/>
              </w:tabs>
              <w:rPr>
                <w:lang w:eastAsia="en-AU"/>
              </w:rPr>
            </w:pPr>
            <w:r>
              <w:rPr>
                <w:lang w:eastAsia="en-AU"/>
              </w:rPr>
              <w:fldChar w:fldCharType="begin"/>
            </w:r>
            <w:r>
              <w:rPr>
                <w:lang w:eastAsia="en-AU"/>
              </w:rPr>
              <w:instrText xml:space="preserve"> REF _Ref193875051 \h </w:instrText>
            </w:r>
            <w:r>
              <w:rPr>
                <w:lang w:eastAsia="en-AU"/>
              </w:rPr>
            </w:r>
            <w:r>
              <w:rPr>
                <w:lang w:eastAsia="en-AU"/>
              </w:rPr>
              <w:fldChar w:fldCharType="separate"/>
            </w:r>
            <w:r>
              <w:t>Misapprehension of the Minister’s powers [ANOA Ground 7]</w:t>
            </w:r>
            <w:r>
              <w:rPr>
                <w:lang w:eastAsia="en-AU"/>
              </w:rPr>
              <w:fldChar w:fldCharType="end"/>
            </w:r>
          </w:p>
        </w:tc>
        <w:tc>
          <w:tcPr>
            <w:tcW w:w="1000" w:type="dxa"/>
            <w:shd w:val="clear" w:color="auto" w:fill="auto"/>
            <w:vAlign w:val="bottom"/>
          </w:tcPr>
          <w:p w14:paraId="19780D0B" w14:textId="026FE029" w:rsidR="00A67C4D" w:rsidRDefault="00A67C4D" w:rsidP="00640103">
            <w:pPr>
              <w:spacing w:before="120" w:after="60" w:line="240" w:lineRule="auto"/>
              <w:jc w:val="right"/>
              <w:rPr>
                <w:szCs w:val="24"/>
              </w:rPr>
            </w:pPr>
            <w:r>
              <w:rPr>
                <w:szCs w:val="24"/>
              </w:rPr>
              <w:t>[106]</w:t>
            </w:r>
          </w:p>
        </w:tc>
      </w:tr>
      <w:tr w:rsidR="00A67C4D" w:rsidRPr="00D326DB" w14:paraId="24DEA135" w14:textId="77777777" w:rsidTr="00A67C4D">
        <w:tc>
          <w:tcPr>
            <w:tcW w:w="8291" w:type="dxa"/>
            <w:shd w:val="clear" w:color="auto" w:fill="auto"/>
          </w:tcPr>
          <w:p w14:paraId="7C6BC3B4" w14:textId="0C0C440A" w:rsidR="00A67C4D" w:rsidRPr="00A67C4D" w:rsidRDefault="00A67C4D" w:rsidP="00A67C4D">
            <w:pPr>
              <w:pStyle w:val="FTOC3"/>
              <w:tabs>
                <w:tab w:val="clear" w:pos="9072"/>
              </w:tabs>
              <w:rPr>
                <w:i w:val="0"/>
                <w:lang w:eastAsia="en-AU"/>
              </w:rPr>
            </w:pPr>
            <w:r>
              <w:rPr>
                <w:lang w:eastAsia="en-AU"/>
              </w:rPr>
              <w:fldChar w:fldCharType="begin"/>
            </w:r>
            <w:r>
              <w:rPr>
                <w:lang w:eastAsia="en-AU"/>
              </w:rPr>
              <w:instrText xml:space="preserve"> REF _Ref193875052 \h </w:instrText>
            </w:r>
            <w:r>
              <w:rPr>
                <w:lang w:eastAsia="en-AU"/>
              </w:rPr>
            </w:r>
            <w:r>
              <w:rPr>
                <w:lang w:eastAsia="en-AU"/>
              </w:rPr>
              <w:fldChar w:fldCharType="separate"/>
            </w:r>
            <w:r>
              <w:t>First limb – Minister’s alleged misunderstanding of her powers</w:t>
            </w:r>
            <w:r>
              <w:rPr>
                <w:lang w:eastAsia="en-AU"/>
              </w:rPr>
              <w:fldChar w:fldCharType="end"/>
            </w:r>
          </w:p>
        </w:tc>
        <w:tc>
          <w:tcPr>
            <w:tcW w:w="1000" w:type="dxa"/>
            <w:shd w:val="clear" w:color="auto" w:fill="auto"/>
            <w:vAlign w:val="bottom"/>
          </w:tcPr>
          <w:p w14:paraId="4D3FD517" w14:textId="4D9AE409" w:rsidR="00A67C4D" w:rsidRDefault="00A67C4D" w:rsidP="00640103">
            <w:pPr>
              <w:spacing w:before="120" w:after="60" w:line="240" w:lineRule="auto"/>
              <w:jc w:val="right"/>
              <w:rPr>
                <w:szCs w:val="24"/>
              </w:rPr>
            </w:pPr>
            <w:r>
              <w:rPr>
                <w:szCs w:val="24"/>
              </w:rPr>
              <w:t>[107]</w:t>
            </w:r>
          </w:p>
        </w:tc>
      </w:tr>
      <w:tr w:rsidR="00A67C4D" w:rsidRPr="00D326DB" w14:paraId="1026A2A3" w14:textId="77777777" w:rsidTr="00A67C4D">
        <w:tc>
          <w:tcPr>
            <w:tcW w:w="8291" w:type="dxa"/>
            <w:shd w:val="clear" w:color="auto" w:fill="auto"/>
          </w:tcPr>
          <w:p w14:paraId="239CC6D6" w14:textId="0F586623" w:rsidR="00A67C4D" w:rsidRPr="00A67C4D" w:rsidRDefault="00A67C4D" w:rsidP="00A67C4D">
            <w:pPr>
              <w:pStyle w:val="FTOC3"/>
              <w:tabs>
                <w:tab w:val="clear" w:pos="9072"/>
              </w:tabs>
              <w:rPr>
                <w:i w:val="0"/>
                <w:lang w:eastAsia="en-AU"/>
              </w:rPr>
            </w:pPr>
            <w:r>
              <w:rPr>
                <w:lang w:eastAsia="en-AU"/>
              </w:rPr>
              <w:fldChar w:fldCharType="begin"/>
            </w:r>
            <w:r>
              <w:rPr>
                <w:lang w:eastAsia="en-AU"/>
              </w:rPr>
              <w:instrText xml:space="preserve"> REF _Ref193875053 \h </w:instrText>
            </w:r>
            <w:r>
              <w:rPr>
                <w:lang w:eastAsia="en-AU"/>
              </w:rPr>
            </w:r>
            <w:r>
              <w:rPr>
                <w:lang w:eastAsia="en-AU"/>
              </w:rPr>
              <w:fldChar w:fldCharType="separate"/>
            </w:r>
            <w:r w:rsidRPr="00AA4BBA">
              <w:t>Second limb – Minister’s alleged misunderstanding of her powers</w:t>
            </w:r>
            <w:r>
              <w:rPr>
                <w:lang w:eastAsia="en-AU"/>
              </w:rPr>
              <w:fldChar w:fldCharType="end"/>
            </w:r>
          </w:p>
        </w:tc>
        <w:tc>
          <w:tcPr>
            <w:tcW w:w="1000" w:type="dxa"/>
            <w:shd w:val="clear" w:color="auto" w:fill="auto"/>
            <w:vAlign w:val="bottom"/>
          </w:tcPr>
          <w:p w14:paraId="5084C281" w14:textId="4D52F553" w:rsidR="00A67C4D" w:rsidRDefault="00A67C4D" w:rsidP="00640103">
            <w:pPr>
              <w:spacing w:before="120" w:after="60" w:line="240" w:lineRule="auto"/>
              <w:jc w:val="right"/>
              <w:rPr>
                <w:szCs w:val="24"/>
              </w:rPr>
            </w:pPr>
            <w:r>
              <w:rPr>
                <w:szCs w:val="24"/>
              </w:rPr>
              <w:t>[119]</w:t>
            </w:r>
          </w:p>
        </w:tc>
      </w:tr>
      <w:tr w:rsidR="00A67C4D" w:rsidRPr="00D326DB" w14:paraId="7B2BB13A" w14:textId="77777777" w:rsidTr="00A67C4D">
        <w:tc>
          <w:tcPr>
            <w:tcW w:w="8291" w:type="dxa"/>
            <w:shd w:val="clear" w:color="auto" w:fill="auto"/>
          </w:tcPr>
          <w:p w14:paraId="471C1729" w14:textId="16BAF0F4" w:rsidR="00A67C4D" w:rsidRPr="00A67C4D" w:rsidRDefault="00A67C4D" w:rsidP="00A67C4D">
            <w:pPr>
              <w:pStyle w:val="FTOC4"/>
              <w:tabs>
                <w:tab w:val="clear" w:pos="9072"/>
              </w:tabs>
              <w:rPr>
                <w:i w:val="0"/>
                <w:lang w:eastAsia="en-AU"/>
              </w:rPr>
            </w:pPr>
            <w:r>
              <w:rPr>
                <w:lang w:eastAsia="en-AU"/>
              </w:rPr>
              <w:fldChar w:fldCharType="begin"/>
            </w:r>
            <w:r>
              <w:rPr>
                <w:lang w:eastAsia="en-AU"/>
              </w:rPr>
              <w:instrText xml:space="preserve"> REF _Ref193875047 \h </w:instrText>
            </w:r>
            <w:r>
              <w:rPr>
                <w:lang w:eastAsia="en-AU"/>
              </w:rPr>
            </w:r>
            <w:r>
              <w:rPr>
                <w:lang w:eastAsia="en-AU"/>
              </w:rPr>
              <w:fldChar w:fldCharType="separate"/>
            </w:r>
            <w:r>
              <w:t>The broader argument</w:t>
            </w:r>
            <w:r>
              <w:rPr>
                <w:lang w:eastAsia="en-AU"/>
              </w:rPr>
              <w:fldChar w:fldCharType="end"/>
            </w:r>
          </w:p>
        </w:tc>
        <w:tc>
          <w:tcPr>
            <w:tcW w:w="1000" w:type="dxa"/>
            <w:shd w:val="clear" w:color="auto" w:fill="auto"/>
            <w:vAlign w:val="bottom"/>
          </w:tcPr>
          <w:p w14:paraId="1BB14834" w14:textId="1CBA7E4F" w:rsidR="00A67C4D" w:rsidRDefault="00A67C4D" w:rsidP="00640103">
            <w:pPr>
              <w:spacing w:before="120" w:after="60" w:line="240" w:lineRule="auto"/>
              <w:jc w:val="right"/>
              <w:rPr>
                <w:szCs w:val="24"/>
              </w:rPr>
            </w:pPr>
            <w:r>
              <w:rPr>
                <w:szCs w:val="24"/>
              </w:rPr>
              <w:t>[120]</w:t>
            </w:r>
          </w:p>
        </w:tc>
      </w:tr>
      <w:tr w:rsidR="00A67C4D" w:rsidRPr="00D326DB" w14:paraId="63F70821" w14:textId="77777777" w:rsidTr="00A67C4D">
        <w:tc>
          <w:tcPr>
            <w:tcW w:w="8291" w:type="dxa"/>
            <w:shd w:val="clear" w:color="auto" w:fill="auto"/>
          </w:tcPr>
          <w:p w14:paraId="6DCD8BC3" w14:textId="03F3BFC4" w:rsidR="00A67C4D" w:rsidRPr="00A67C4D" w:rsidRDefault="00A67C4D" w:rsidP="00A67C4D">
            <w:pPr>
              <w:pStyle w:val="FTOC4"/>
              <w:tabs>
                <w:tab w:val="clear" w:pos="9072"/>
              </w:tabs>
              <w:rPr>
                <w:i w:val="0"/>
                <w:lang w:eastAsia="en-AU"/>
              </w:rPr>
            </w:pPr>
            <w:r>
              <w:rPr>
                <w:lang w:eastAsia="en-AU"/>
              </w:rPr>
              <w:fldChar w:fldCharType="begin"/>
            </w:r>
            <w:r>
              <w:rPr>
                <w:lang w:eastAsia="en-AU"/>
              </w:rPr>
              <w:instrText xml:space="preserve"> REF _Ref193875048 \h </w:instrText>
            </w:r>
            <w:r>
              <w:rPr>
                <w:lang w:eastAsia="en-AU"/>
              </w:rPr>
            </w:r>
            <w:r>
              <w:rPr>
                <w:lang w:eastAsia="en-AU"/>
              </w:rPr>
              <w:fldChar w:fldCharType="separate"/>
            </w:r>
            <w:r>
              <w:t>The narrower argument</w:t>
            </w:r>
            <w:r>
              <w:rPr>
                <w:lang w:eastAsia="en-AU"/>
              </w:rPr>
              <w:fldChar w:fldCharType="end"/>
            </w:r>
          </w:p>
        </w:tc>
        <w:tc>
          <w:tcPr>
            <w:tcW w:w="1000" w:type="dxa"/>
            <w:shd w:val="clear" w:color="auto" w:fill="auto"/>
            <w:vAlign w:val="bottom"/>
          </w:tcPr>
          <w:p w14:paraId="01779761" w14:textId="3910687E" w:rsidR="00A67C4D" w:rsidRDefault="00A67C4D" w:rsidP="00640103">
            <w:pPr>
              <w:spacing w:before="120" w:after="60" w:line="240" w:lineRule="auto"/>
              <w:jc w:val="right"/>
              <w:rPr>
                <w:szCs w:val="24"/>
              </w:rPr>
            </w:pPr>
            <w:r>
              <w:rPr>
                <w:szCs w:val="24"/>
              </w:rPr>
              <w:t>[134]</w:t>
            </w:r>
          </w:p>
        </w:tc>
      </w:tr>
      <w:tr w:rsidR="00A67C4D" w:rsidRPr="00D326DB" w14:paraId="2BFAAF8F" w14:textId="77777777" w:rsidTr="00A67C4D">
        <w:tc>
          <w:tcPr>
            <w:tcW w:w="8291" w:type="dxa"/>
            <w:shd w:val="clear" w:color="auto" w:fill="auto"/>
          </w:tcPr>
          <w:p w14:paraId="31625450" w14:textId="738AA686" w:rsidR="00A67C4D" w:rsidRPr="00A67C4D" w:rsidRDefault="00A67C4D" w:rsidP="00A67C4D">
            <w:pPr>
              <w:pStyle w:val="FTOC2"/>
              <w:tabs>
                <w:tab w:val="clear" w:pos="9072"/>
              </w:tabs>
              <w:rPr>
                <w:lang w:eastAsia="en-AU"/>
              </w:rPr>
            </w:pPr>
            <w:r>
              <w:rPr>
                <w:lang w:eastAsia="en-AU"/>
              </w:rPr>
              <w:fldChar w:fldCharType="begin"/>
            </w:r>
            <w:r>
              <w:rPr>
                <w:lang w:eastAsia="en-AU"/>
              </w:rPr>
              <w:instrText xml:space="preserve"> REF _Ref193875054 \h </w:instrText>
            </w:r>
            <w:r>
              <w:rPr>
                <w:lang w:eastAsia="en-AU"/>
              </w:rPr>
            </w:r>
            <w:r>
              <w:rPr>
                <w:lang w:eastAsia="en-AU"/>
              </w:rPr>
              <w:fldChar w:fldCharType="separate"/>
            </w:r>
            <w:r w:rsidRPr="005562AE">
              <w:t>The 2024 Amendment Act</w:t>
            </w:r>
            <w:r>
              <w:t xml:space="preserve"> (Notice of contention)</w:t>
            </w:r>
            <w:r>
              <w:rPr>
                <w:lang w:eastAsia="en-AU"/>
              </w:rPr>
              <w:fldChar w:fldCharType="end"/>
            </w:r>
          </w:p>
        </w:tc>
        <w:tc>
          <w:tcPr>
            <w:tcW w:w="1000" w:type="dxa"/>
            <w:shd w:val="clear" w:color="auto" w:fill="auto"/>
            <w:vAlign w:val="bottom"/>
          </w:tcPr>
          <w:p w14:paraId="244952D0" w14:textId="2923620F" w:rsidR="00A67C4D" w:rsidRDefault="00A67C4D" w:rsidP="00640103">
            <w:pPr>
              <w:spacing w:before="120" w:after="60" w:line="240" w:lineRule="auto"/>
              <w:jc w:val="right"/>
              <w:rPr>
                <w:szCs w:val="24"/>
              </w:rPr>
            </w:pPr>
            <w:r>
              <w:rPr>
                <w:szCs w:val="24"/>
              </w:rPr>
              <w:t>[141]</w:t>
            </w:r>
          </w:p>
        </w:tc>
      </w:tr>
      <w:tr w:rsidR="00A67C4D" w:rsidRPr="00D326DB" w14:paraId="6AF39842" w14:textId="77777777" w:rsidTr="00A67C4D">
        <w:tc>
          <w:tcPr>
            <w:tcW w:w="8291" w:type="dxa"/>
            <w:shd w:val="clear" w:color="auto" w:fill="auto"/>
          </w:tcPr>
          <w:p w14:paraId="3D1D47C9" w14:textId="5A0F5C6A" w:rsidR="00A67C4D" w:rsidRPr="00A67C4D" w:rsidRDefault="00A67C4D" w:rsidP="00A67C4D">
            <w:pPr>
              <w:pStyle w:val="FTOC2"/>
              <w:tabs>
                <w:tab w:val="clear" w:pos="9072"/>
              </w:tabs>
              <w:rPr>
                <w:lang w:eastAsia="en-AU"/>
              </w:rPr>
            </w:pPr>
            <w:r>
              <w:rPr>
                <w:lang w:eastAsia="en-AU"/>
              </w:rPr>
              <w:fldChar w:fldCharType="begin"/>
            </w:r>
            <w:r>
              <w:rPr>
                <w:lang w:eastAsia="en-AU"/>
              </w:rPr>
              <w:instrText xml:space="preserve"> REF _Ref193875055 \h </w:instrText>
            </w:r>
            <w:r>
              <w:rPr>
                <w:lang w:eastAsia="en-AU"/>
              </w:rPr>
            </w:r>
            <w:r>
              <w:rPr>
                <w:lang w:eastAsia="en-AU"/>
              </w:rPr>
              <w:fldChar w:fldCharType="separate"/>
            </w:r>
            <w:r>
              <w:t>Costs</w:t>
            </w:r>
            <w:r>
              <w:rPr>
                <w:lang w:eastAsia="en-AU"/>
              </w:rPr>
              <w:fldChar w:fldCharType="end"/>
            </w:r>
          </w:p>
        </w:tc>
        <w:tc>
          <w:tcPr>
            <w:tcW w:w="1000" w:type="dxa"/>
            <w:shd w:val="clear" w:color="auto" w:fill="auto"/>
            <w:vAlign w:val="bottom"/>
          </w:tcPr>
          <w:p w14:paraId="2757B626" w14:textId="1A59250D" w:rsidR="00A67C4D" w:rsidRDefault="00A67C4D" w:rsidP="00640103">
            <w:pPr>
              <w:spacing w:before="120" w:after="60" w:line="240" w:lineRule="auto"/>
              <w:jc w:val="right"/>
              <w:rPr>
                <w:szCs w:val="24"/>
              </w:rPr>
            </w:pPr>
            <w:r>
              <w:rPr>
                <w:szCs w:val="24"/>
              </w:rPr>
              <w:t>[153]</w:t>
            </w:r>
          </w:p>
        </w:tc>
      </w:tr>
      <w:tr w:rsidR="00A67C4D" w:rsidRPr="00D326DB" w14:paraId="4F722B84" w14:textId="77777777" w:rsidTr="00A67C4D">
        <w:tc>
          <w:tcPr>
            <w:tcW w:w="8291" w:type="dxa"/>
            <w:shd w:val="clear" w:color="auto" w:fill="auto"/>
          </w:tcPr>
          <w:p w14:paraId="5DADC46A" w14:textId="5CDA9A9A" w:rsidR="00A67C4D" w:rsidRPr="00A67C4D" w:rsidRDefault="00A67C4D" w:rsidP="00A67C4D">
            <w:pPr>
              <w:pStyle w:val="FTOC1"/>
              <w:tabs>
                <w:tab w:val="clear" w:pos="9072"/>
              </w:tabs>
              <w:rPr>
                <w:lang w:eastAsia="en-AU"/>
              </w:rPr>
            </w:pPr>
            <w:r>
              <w:rPr>
                <w:lang w:eastAsia="en-AU"/>
              </w:rPr>
              <w:fldChar w:fldCharType="begin"/>
            </w:r>
            <w:r>
              <w:rPr>
                <w:lang w:eastAsia="en-AU"/>
              </w:rPr>
              <w:instrText xml:space="preserve"> REF _Ref193875056 \h </w:instrText>
            </w:r>
            <w:r>
              <w:rPr>
                <w:lang w:eastAsia="en-AU"/>
              </w:rPr>
            </w:r>
            <w:r>
              <w:rPr>
                <w:lang w:eastAsia="en-AU"/>
              </w:rPr>
              <w:fldChar w:fldCharType="separate"/>
            </w:r>
            <w:r>
              <w:t>CONCLUSION</w:t>
            </w:r>
            <w:r>
              <w:rPr>
                <w:lang w:eastAsia="en-AU"/>
              </w:rPr>
              <w:fldChar w:fldCharType="end"/>
            </w:r>
          </w:p>
        </w:tc>
        <w:tc>
          <w:tcPr>
            <w:tcW w:w="1000" w:type="dxa"/>
            <w:shd w:val="clear" w:color="auto" w:fill="auto"/>
            <w:vAlign w:val="bottom"/>
          </w:tcPr>
          <w:p w14:paraId="6E550A1F" w14:textId="4969E34E" w:rsidR="00A67C4D" w:rsidRDefault="00A67C4D" w:rsidP="00640103">
            <w:pPr>
              <w:spacing w:before="120" w:after="60" w:line="240" w:lineRule="auto"/>
              <w:jc w:val="right"/>
              <w:rPr>
                <w:szCs w:val="24"/>
              </w:rPr>
            </w:pPr>
            <w:r>
              <w:rPr>
                <w:szCs w:val="24"/>
              </w:rPr>
              <w:t>[156]</w:t>
            </w:r>
          </w:p>
        </w:tc>
      </w:tr>
      <w:bookmarkEnd w:id="23"/>
    </w:tbl>
    <w:p w14:paraId="78AF9755" w14:textId="77777777" w:rsidR="00B710F2" w:rsidRDefault="00B710F2" w:rsidP="002B0E91">
      <w:pPr>
        <w:pStyle w:val="BodyText"/>
      </w:pPr>
    </w:p>
    <w:p w14:paraId="034D99E2" w14:textId="77777777" w:rsidR="00395B24" w:rsidRDefault="00395B24">
      <w:pPr>
        <w:pStyle w:val="NormalHeadings"/>
        <w:spacing w:before="240" w:after="120"/>
        <w:rPr>
          <w:b w:val="0"/>
        </w:rPr>
        <w:sectPr w:rsidR="00395B24" w:rsidSect="00E77422">
          <w:headerReference w:type="default"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fmt="lowerRoman" w:start="1"/>
          <w:cols w:space="720"/>
          <w:noEndnote/>
          <w:titlePg/>
        </w:sectPr>
      </w:pPr>
    </w:p>
    <w:p w14:paraId="53152C45" w14:textId="77777777" w:rsidR="00484F6D" w:rsidRPr="00045BB7" w:rsidRDefault="00484F6D" w:rsidP="00045BB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14:paraId="3CF7321E" w14:textId="4CF0812B" w:rsidR="00964BED" w:rsidRPr="00964BED" w:rsidRDefault="0003627C" w:rsidP="00964BED">
      <w:pPr>
        <w:pStyle w:val="NormalHeadings"/>
        <w:spacing w:line="360" w:lineRule="auto"/>
        <w:jc w:val="left"/>
        <w:rPr>
          <w:sz w:val="26"/>
          <w:szCs w:val="26"/>
        </w:rPr>
      </w:pPr>
      <w:r w:rsidRPr="00C20FF2">
        <w:rPr>
          <w:sz w:val="26"/>
          <w:szCs w:val="26"/>
        </w:rPr>
        <w:t>THE COURT</w:t>
      </w:r>
      <w:r w:rsidRPr="00A73E96">
        <w:rPr>
          <w:sz w:val="26"/>
          <w:szCs w:val="26"/>
        </w:rPr>
        <w:t>:</w:t>
      </w:r>
    </w:p>
    <w:p w14:paraId="2175E7BB" w14:textId="74BEAC4E" w:rsidR="00484E4A" w:rsidRDefault="00D5069D" w:rsidP="005E197A">
      <w:pPr>
        <w:pStyle w:val="ParaNumbering"/>
      </w:pPr>
      <w:r>
        <w:t>The appellant challenges a decision made by the</w:t>
      </w:r>
      <w:r w:rsidR="00607A8F">
        <w:t xml:space="preserve"> then</w:t>
      </w:r>
      <w:r>
        <w:t xml:space="preserve"> </w:t>
      </w:r>
      <w:r w:rsidRPr="00484E4A">
        <w:rPr>
          <w:b/>
          <w:bCs/>
        </w:rPr>
        <w:t>Minister</w:t>
      </w:r>
      <w:r>
        <w:t xml:space="preserve"> for Foreign Affairs on 17</w:t>
      </w:r>
      <w:r w:rsidR="00471DB4">
        <w:t> </w:t>
      </w:r>
      <w:r>
        <w:t xml:space="preserve">March 2022 to designate him for targeted financial sanctions and declare him for travel bans under the </w:t>
      </w:r>
      <w:r w:rsidRPr="0083283B">
        <w:rPr>
          <w:i/>
          <w:iCs/>
        </w:rPr>
        <w:t xml:space="preserve">Autonomous Sanctions </w:t>
      </w:r>
      <w:r w:rsidRPr="0083283B">
        <w:rPr>
          <w:b/>
          <w:bCs/>
          <w:i/>
          <w:iCs/>
        </w:rPr>
        <w:t>Act</w:t>
      </w:r>
      <w:r w:rsidRPr="0083283B">
        <w:rPr>
          <w:i/>
          <w:iCs/>
        </w:rPr>
        <w:t xml:space="preserve"> 2011 </w:t>
      </w:r>
      <w:r w:rsidRPr="0083283B">
        <w:t>(Cth)</w:t>
      </w:r>
      <w:r w:rsidR="00F34180">
        <w:t xml:space="preserve"> and the </w:t>
      </w:r>
      <w:r w:rsidR="00F34180" w:rsidRPr="0083283B">
        <w:rPr>
          <w:i/>
          <w:iCs/>
        </w:rPr>
        <w:t xml:space="preserve">Autonomous Sanctions </w:t>
      </w:r>
      <w:r w:rsidR="00F34180" w:rsidRPr="0083283B">
        <w:rPr>
          <w:b/>
          <w:bCs/>
          <w:i/>
          <w:iCs/>
        </w:rPr>
        <w:t>Regulations</w:t>
      </w:r>
      <w:r w:rsidR="00F34180" w:rsidRPr="0083283B">
        <w:rPr>
          <w:i/>
          <w:iCs/>
        </w:rPr>
        <w:t xml:space="preserve"> 2011 </w:t>
      </w:r>
      <w:r w:rsidR="00F34180" w:rsidRPr="0083283B">
        <w:t>(Cth)</w:t>
      </w:r>
      <w:r w:rsidR="00484E4A">
        <w:t>. The primary judge dismissed the appellant’s challenge</w:t>
      </w:r>
      <w:r w:rsidR="00F34180">
        <w:t xml:space="preserve"> </w:t>
      </w:r>
      <w:r w:rsidR="00CD5E5C">
        <w:t xml:space="preserve">to the Minister’s decision and the appellant’s challenge to the validity of the Regulations: </w:t>
      </w:r>
      <w:r w:rsidR="00CD5E5C" w:rsidRPr="00087CA8">
        <w:rPr>
          <w:b/>
          <w:bCs/>
          <w:i/>
          <w:iCs/>
        </w:rPr>
        <w:t>Deripaska</w:t>
      </w:r>
      <w:r w:rsidR="00CD5E5C" w:rsidRPr="0083283B">
        <w:rPr>
          <w:i/>
          <w:iCs/>
        </w:rPr>
        <w:t xml:space="preserve"> v Minister for Foreign Affairs </w:t>
      </w:r>
      <w:r w:rsidR="00CD5E5C" w:rsidRPr="0083283B">
        <w:t>[2024] FCA 62</w:t>
      </w:r>
      <w:r w:rsidR="00CD5E5C">
        <w:t xml:space="preserve"> (</w:t>
      </w:r>
      <w:r w:rsidR="00CD5E5C">
        <w:rPr>
          <w:b/>
          <w:bCs/>
        </w:rPr>
        <w:t>J</w:t>
      </w:r>
      <w:r w:rsidR="00CD5E5C">
        <w:t>).</w:t>
      </w:r>
    </w:p>
    <w:p w14:paraId="6A5EA72C" w14:textId="62E27E0A" w:rsidR="00B865E2" w:rsidRDefault="00EC7432" w:rsidP="00B865E2">
      <w:pPr>
        <w:pStyle w:val="ParaNumbering"/>
        <w:tabs>
          <w:tab w:val="clear" w:pos="720"/>
        </w:tabs>
      </w:pPr>
      <w:r>
        <w:t xml:space="preserve">The appellant </w:t>
      </w:r>
      <w:r w:rsidR="00191136">
        <w:t>appeals from the whole of the judgment of the primary judge</w:t>
      </w:r>
      <w:r w:rsidR="0045378E">
        <w:t>. The grounds of appeal</w:t>
      </w:r>
      <w:r w:rsidR="00383E4B">
        <w:t xml:space="preserve">, </w:t>
      </w:r>
      <w:r w:rsidR="00B865E2">
        <w:t>set out in the Amended Notice of Appeal (</w:t>
      </w:r>
      <w:r w:rsidR="00B865E2" w:rsidRPr="00B865E2">
        <w:rPr>
          <w:b/>
          <w:bCs/>
        </w:rPr>
        <w:t>ANOA</w:t>
      </w:r>
      <w:r w:rsidR="00B865E2">
        <w:t>)</w:t>
      </w:r>
      <w:r w:rsidR="00383E4B">
        <w:t>,</w:t>
      </w:r>
      <w:r w:rsidR="00B865E2">
        <w:t xml:space="preserve"> </w:t>
      </w:r>
      <w:r w:rsidR="00F274F8">
        <w:t>were</w:t>
      </w:r>
      <w:r w:rsidR="00FF18D4">
        <w:t xml:space="preserve"> grouped </w:t>
      </w:r>
      <w:r w:rsidR="00471DB4">
        <w:t xml:space="preserve">under </w:t>
      </w:r>
      <w:r w:rsidR="00740329">
        <w:t xml:space="preserve">the following </w:t>
      </w:r>
      <w:r w:rsidR="00045FED">
        <w:t>five</w:t>
      </w:r>
      <w:r w:rsidR="00471DB4">
        <w:t xml:space="preserve"> headings</w:t>
      </w:r>
      <w:r w:rsidR="00FF18D4">
        <w:t>:</w:t>
      </w:r>
    </w:p>
    <w:p w14:paraId="595A862C" w14:textId="4243F068" w:rsidR="005436D2" w:rsidRPr="00087CA8" w:rsidRDefault="00FF18D4" w:rsidP="00087CA8">
      <w:pPr>
        <w:pStyle w:val="Quote1"/>
        <w:rPr>
          <w:b/>
          <w:bCs/>
          <w:i/>
          <w:iCs/>
        </w:rPr>
      </w:pPr>
      <w:r w:rsidRPr="00087CA8">
        <w:rPr>
          <w:b/>
          <w:bCs/>
          <w:i/>
          <w:iCs/>
        </w:rPr>
        <w:t>“Reading down”</w:t>
      </w:r>
      <w:r w:rsidR="00B165DA" w:rsidRPr="00087CA8">
        <w:rPr>
          <w:b/>
          <w:bCs/>
          <w:i/>
          <w:iCs/>
        </w:rPr>
        <w:t xml:space="preserve"> </w:t>
      </w:r>
      <w:r w:rsidR="00BA7077">
        <w:rPr>
          <w:b/>
          <w:bCs/>
        </w:rPr>
        <w:t>[</w:t>
      </w:r>
      <w:r w:rsidR="00201F1C" w:rsidRPr="00276A43">
        <w:rPr>
          <w:b/>
          <w:bCs/>
        </w:rPr>
        <w:t xml:space="preserve">ANOA </w:t>
      </w:r>
      <w:r w:rsidR="00B165DA" w:rsidRPr="00276A43">
        <w:rPr>
          <w:b/>
          <w:bCs/>
        </w:rPr>
        <w:t>Grounds 2 and 3</w:t>
      </w:r>
      <w:r w:rsidR="00BA7077">
        <w:rPr>
          <w:b/>
          <w:bCs/>
        </w:rPr>
        <w:t>]</w:t>
      </w:r>
    </w:p>
    <w:p w14:paraId="6B5902D7" w14:textId="77777777" w:rsidR="00B865E2" w:rsidRDefault="00B865E2" w:rsidP="00087CA8">
      <w:pPr>
        <w:pStyle w:val="Quote2"/>
        <w:ind w:left="2160" w:hanging="720"/>
      </w:pPr>
      <w:r>
        <w:t>2.</w:t>
      </w:r>
      <w:r>
        <w:tab/>
        <w:t>The PJ erred in holding that regs 14 and 15 of the Regulations are to be construed:</w:t>
      </w:r>
    </w:p>
    <w:p w14:paraId="50CEE5F2" w14:textId="71E0FC44" w:rsidR="00B865E2" w:rsidRDefault="00B865E2" w:rsidP="000F689E">
      <w:pPr>
        <w:pStyle w:val="Quote3"/>
        <w:ind w:left="2880" w:hanging="720"/>
      </w:pPr>
      <w:r>
        <w:t>a.</w:t>
      </w:r>
      <w:r>
        <w:tab/>
        <w:t xml:space="preserve">As not applying to actions taken for the objective purpose of challenging the validity of decisions or actions under the </w:t>
      </w:r>
      <w:r w:rsidR="00ED4B3A">
        <w:t>[Act]</w:t>
      </w:r>
      <w:r>
        <w:t xml:space="preserve">, pursuant to s 75(v) of the </w:t>
      </w:r>
      <w:r w:rsidRPr="00276A43">
        <w:t>Constitution</w:t>
      </w:r>
      <w:r>
        <w:t xml:space="preserve"> or s 39</w:t>
      </w:r>
      <w:proofErr w:type="gramStart"/>
      <w:r>
        <w:t>B(</w:t>
      </w:r>
      <w:proofErr w:type="gramEnd"/>
      <w:r>
        <w:t xml:space="preserve">1) of the </w:t>
      </w:r>
      <w:r w:rsidRPr="00FA1ED8">
        <w:rPr>
          <w:i/>
          <w:iCs/>
        </w:rPr>
        <w:t>Judiciary Act 1903</w:t>
      </w:r>
      <w:r>
        <w:t xml:space="preserve"> (Cth) (possibly held at [62], [66]); or</w:t>
      </w:r>
    </w:p>
    <w:p w14:paraId="2C5847DC" w14:textId="5F3AB483" w:rsidR="00B865E2" w:rsidRDefault="00B865E2" w:rsidP="000F689E">
      <w:pPr>
        <w:pStyle w:val="Quote3"/>
        <w:ind w:left="2880" w:hanging="720"/>
      </w:pPr>
      <w:r>
        <w:t>b.</w:t>
      </w:r>
      <w:r>
        <w:tab/>
        <w:t xml:space="preserve">As not having any “applications” that would “subvert” the “exercise of jurisdiction under s 75(v) [of the </w:t>
      </w:r>
      <w:r w:rsidRPr="00276A43">
        <w:t>Constitution</w:t>
      </w:r>
      <w:r>
        <w:t>] or s 39</w:t>
      </w:r>
      <w:proofErr w:type="gramStart"/>
      <w:r>
        <w:t>B(</w:t>
      </w:r>
      <w:proofErr w:type="gramEnd"/>
      <w:r>
        <w:t>1) [of the Judiciary Act]” (at [73]); or</w:t>
      </w:r>
    </w:p>
    <w:p w14:paraId="51C99FAF" w14:textId="77777777" w:rsidR="00B865E2" w:rsidRDefault="00B865E2" w:rsidP="000F689E">
      <w:pPr>
        <w:pStyle w:val="Quote3"/>
        <w:ind w:left="2880" w:hanging="720"/>
      </w:pPr>
      <w:r>
        <w:t>c.</w:t>
      </w:r>
      <w:r>
        <w:tab/>
        <w:t xml:space="preserve">As being “inapplicable” to the extent “required” in order “to prevent subversion” of the “proper exercise” of the jurisdiction in s 75(v) of the </w:t>
      </w:r>
      <w:r w:rsidRPr="00276A43">
        <w:t>Constitution</w:t>
      </w:r>
      <w:r>
        <w:t xml:space="preserve"> and its analogues (at [76]).</w:t>
      </w:r>
    </w:p>
    <w:p w14:paraId="3EFFD178" w14:textId="77777777" w:rsidR="00B865E2" w:rsidRDefault="00B865E2" w:rsidP="00087CA8">
      <w:pPr>
        <w:pStyle w:val="Quote2"/>
        <w:ind w:left="2160" w:hanging="720"/>
      </w:pPr>
      <w:r>
        <w:t>3.</w:t>
      </w:r>
      <w:r>
        <w:tab/>
        <w:t>The PJ erred in failing to hold that regs 14 and 15 could not be “read down” in any of the ways identified at Ground 2 above.</w:t>
      </w:r>
    </w:p>
    <w:p w14:paraId="21E84D26" w14:textId="69F96545" w:rsidR="00ED4B3A" w:rsidRPr="00087CA8" w:rsidRDefault="00ED4B3A" w:rsidP="00087CA8">
      <w:pPr>
        <w:pStyle w:val="Quote1"/>
        <w:rPr>
          <w:b/>
          <w:bCs/>
          <w:i/>
          <w:iCs/>
        </w:rPr>
      </w:pPr>
      <w:r w:rsidRPr="00087CA8">
        <w:rPr>
          <w:b/>
          <w:bCs/>
          <w:i/>
          <w:iCs/>
        </w:rPr>
        <w:t>Chapter III</w:t>
      </w:r>
      <w:r w:rsidR="00B165DA" w:rsidRPr="00087CA8">
        <w:rPr>
          <w:b/>
          <w:bCs/>
          <w:i/>
          <w:iCs/>
        </w:rPr>
        <w:t xml:space="preserve"> </w:t>
      </w:r>
      <w:r w:rsidR="00FF4365">
        <w:rPr>
          <w:b/>
          <w:bCs/>
        </w:rPr>
        <w:t>[</w:t>
      </w:r>
      <w:r w:rsidR="00201F1C" w:rsidRPr="00276A43">
        <w:rPr>
          <w:b/>
          <w:bCs/>
        </w:rPr>
        <w:t xml:space="preserve">ANOA </w:t>
      </w:r>
      <w:r w:rsidR="00B165DA" w:rsidRPr="00276A43">
        <w:rPr>
          <w:b/>
          <w:bCs/>
        </w:rPr>
        <w:t>Gr</w:t>
      </w:r>
      <w:r w:rsidR="005878B2" w:rsidRPr="00276A43">
        <w:rPr>
          <w:b/>
          <w:bCs/>
        </w:rPr>
        <w:t>ounds 1, 4 and 5</w:t>
      </w:r>
      <w:r w:rsidR="00FF4365">
        <w:rPr>
          <w:b/>
          <w:bCs/>
        </w:rPr>
        <w:t>]</w:t>
      </w:r>
    </w:p>
    <w:p w14:paraId="3D7EF2E4" w14:textId="77777777" w:rsidR="003E0219" w:rsidRDefault="003E0219" w:rsidP="00087CA8">
      <w:pPr>
        <w:pStyle w:val="Quote2"/>
        <w:ind w:left="2160" w:hanging="720"/>
      </w:pPr>
      <w:r w:rsidRPr="00E21E4E">
        <w:t>1.</w:t>
      </w:r>
      <w:r>
        <w:tab/>
      </w:r>
      <w:r w:rsidRPr="00E21E4E">
        <w:t xml:space="preserve">The primary judge (PJ) erred in finding that Deripaska “is not relevantly affected in his acquisition of legal services by regs 14-15” of the </w:t>
      </w:r>
      <w:r w:rsidRPr="00E21E4E">
        <w:rPr>
          <w:i/>
          <w:iCs/>
        </w:rPr>
        <w:t>Autonomous Sanctions Regulations 2011</w:t>
      </w:r>
      <w:r w:rsidRPr="00E21E4E">
        <w:t xml:space="preserve"> (Cth) (</w:t>
      </w:r>
      <w:r w:rsidRPr="00462ED6">
        <w:rPr>
          <w:b/>
          <w:bCs/>
        </w:rPr>
        <w:t>Regulations</w:t>
      </w:r>
      <w:r w:rsidRPr="00E21E4E">
        <w:t>), and hence that Deripaska’s case “relies on [those regulations’] potential effect in other cases and on other people” (at [58]).</w:t>
      </w:r>
    </w:p>
    <w:p w14:paraId="157C553E" w14:textId="3C388552" w:rsidR="00526508" w:rsidRPr="00526508" w:rsidRDefault="003F64EE" w:rsidP="00087CA8">
      <w:pPr>
        <w:pStyle w:val="Quote2"/>
        <w:ind w:left="2160" w:hanging="720"/>
      </w:pPr>
      <w:r>
        <w:t>4.</w:t>
      </w:r>
      <w:r>
        <w:tab/>
      </w:r>
      <w:r w:rsidR="00526508" w:rsidRPr="00526508">
        <w:t>The PJ erred in holding that if regs 14 and 15 of the Regulations were construed in any</w:t>
      </w:r>
      <w:r w:rsidR="00ED70A9">
        <w:t xml:space="preserve"> </w:t>
      </w:r>
      <w:r w:rsidR="00526508" w:rsidRPr="00526508">
        <w:t>of the ways identified in Ground 2 above, then those regulations were not inconsistent</w:t>
      </w:r>
      <w:r w:rsidR="00ED70A9">
        <w:t xml:space="preserve"> </w:t>
      </w:r>
      <w:r w:rsidR="00526508" w:rsidRPr="00526508">
        <w:t xml:space="preserve">with the principles established by Chapter III of the </w:t>
      </w:r>
      <w:r w:rsidR="00526508" w:rsidRPr="00276A43">
        <w:t>Constitution</w:t>
      </w:r>
      <w:r w:rsidR="00526508" w:rsidRPr="00526508">
        <w:t xml:space="preserve"> (at [86]-[87]).</w:t>
      </w:r>
    </w:p>
    <w:p w14:paraId="5689B549" w14:textId="7FFDDAA3" w:rsidR="00526508" w:rsidRDefault="00526508" w:rsidP="00A67C4D">
      <w:pPr>
        <w:pStyle w:val="Quote2"/>
        <w:keepLines/>
        <w:ind w:left="2160" w:hanging="720"/>
      </w:pPr>
      <w:r>
        <w:lastRenderedPageBreak/>
        <w:t>5.</w:t>
      </w:r>
      <w:r>
        <w:tab/>
      </w:r>
      <w:r w:rsidRPr="00526508">
        <w:t>Further or in the alternative, the PJ erred by failing to hold that s</w:t>
      </w:r>
      <w:r w:rsidR="00D259F5">
        <w:t> </w:t>
      </w:r>
      <w:r w:rsidRPr="00526508">
        <w:t>10(1)(a) of the</w:t>
      </w:r>
      <w:r w:rsidR="00ED70A9">
        <w:t xml:space="preserve"> </w:t>
      </w:r>
      <w:r w:rsidRPr="00526508">
        <w:rPr>
          <w:i/>
          <w:iCs/>
        </w:rPr>
        <w:t xml:space="preserve">Autonomous Sanctions Act 2011 </w:t>
      </w:r>
      <w:r w:rsidRPr="00526508">
        <w:t>(Cth) is invalid, by virtue of the way in which his Honour</w:t>
      </w:r>
      <w:r w:rsidR="00ED70A9">
        <w:t xml:space="preserve"> </w:t>
      </w:r>
      <w:r w:rsidRPr="00526508">
        <w:t>construed that provision at [115].</w:t>
      </w:r>
    </w:p>
    <w:p w14:paraId="569B22E7" w14:textId="1889B47E" w:rsidR="00ED70A9" w:rsidRPr="00087CA8" w:rsidRDefault="00ED70A9" w:rsidP="00087CA8">
      <w:pPr>
        <w:pStyle w:val="Quote1"/>
        <w:rPr>
          <w:b/>
          <w:bCs/>
          <w:i/>
          <w:iCs/>
        </w:rPr>
      </w:pPr>
      <w:r w:rsidRPr="00087CA8">
        <w:rPr>
          <w:b/>
          <w:bCs/>
          <w:i/>
          <w:iCs/>
        </w:rPr>
        <w:t>Invalidity of the Regulations</w:t>
      </w:r>
      <w:r w:rsidR="002900FF" w:rsidRPr="00087CA8">
        <w:rPr>
          <w:b/>
          <w:bCs/>
          <w:i/>
          <w:iCs/>
        </w:rPr>
        <w:t xml:space="preserve"> </w:t>
      </w:r>
      <w:r w:rsidR="00FF4365">
        <w:rPr>
          <w:b/>
          <w:bCs/>
        </w:rPr>
        <w:t>[</w:t>
      </w:r>
      <w:r w:rsidR="00201F1C" w:rsidRPr="00276A43">
        <w:rPr>
          <w:b/>
          <w:bCs/>
        </w:rPr>
        <w:t xml:space="preserve">ANOA </w:t>
      </w:r>
      <w:r w:rsidR="002900FF" w:rsidRPr="00276A43">
        <w:rPr>
          <w:b/>
          <w:bCs/>
        </w:rPr>
        <w:t>Ground 6</w:t>
      </w:r>
      <w:r w:rsidR="00FF4365">
        <w:rPr>
          <w:b/>
          <w:bCs/>
        </w:rPr>
        <w:t>]</w:t>
      </w:r>
    </w:p>
    <w:p w14:paraId="6D44D918" w14:textId="6A2BF083" w:rsidR="00ED70A9" w:rsidRPr="00ED70A9" w:rsidRDefault="00ED70A9" w:rsidP="00087CA8">
      <w:pPr>
        <w:pStyle w:val="Quote2"/>
        <w:ind w:left="2160" w:hanging="720"/>
      </w:pPr>
      <w:r>
        <w:t>6.</w:t>
      </w:r>
      <w:r>
        <w:tab/>
      </w:r>
      <w:r w:rsidRPr="00ED70A9">
        <w:t>The PJ erred by failing to hold that regs 6(b), 14 and 15 of the Regulations are invalid.</w:t>
      </w:r>
    </w:p>
    <w:p w14:paraId="09AC7F27" w14:textId="60483711" w:rsidR="00ED4B3A" w:rsidRPr="00087CA8" w:rsidRDefault="00714954" w:rsidP="00087CA8">
      <w:pPr>
        <w:pStyle w:val="Quote1"/>
        <w:rPr>
          <w:b/>
          <w:bCs/>
          <w:i/>
          <w:iCs/>
        </w:rPr>
      </w:pPr>
      <w:r w:rsidRPr="00087CA8">
        <w:rPr>
          <w:b/>
          <w:bCs/>
          <w:i/>
          <w:iCs/>
        </w:rPr>
        <w:t>Misunderstanding of the nature of the Minister’s powers</w:t>
      </w:r>
      <w:r w:rsidR="002900FF" w:rsidRPr="00087CA8">
        <w:rPr>
          <w:b/>
          <w:bCs/>
          <w:i/>
          <w:iCs/>
        </w:rPr>
        <w:t xml:space="preserve"> </w:t>
      </w:r>
      <w:r w:rsidR="00FF4365">
        <w:rPr>
          <w:b/>
          <w:bCs/>
        </w:rPr>
        <w:t>[</w:t>
      </w:r>
      <w:r w:rsidR="00201F1C" w:rsidRPr="00276A43">
        <w:rPr>
          <w:b/>
          <w:bCs/>
        </w:rPr>
        <w:t xml:space="preserve">ANOA </w:t>
      </w:r>
      <w:r w:rsidR="002900FF" w:rsidRPr="00276A43">
        <w:rPr>
          <w:b/>
          <w:bCs/>
        </w:rPr>
        <w:t>Ground 7</w:t>
      </w:r>
      <w:r w:rsidR="00FF4365">
        <w:rPr>
          <w:b/>
          <w:bCs/>
        </w:rPr>
        <w:t>]</w:t>
      </w:r>
    </w:p>
    <w:p w14:paraId="2C64C61C" w14:textId="198A204C" w:rsidR="000211CA" w:rsidRPr="000211CA" w:rsidRDefault="000211CA" w:rsidP="00087CA8">
      <w:pPr>
        <w:pStyle w:val="Quote2"/>
        <w:ind w:left="2160" w:hanging="720"/>
      </w:pPr>
      <w:r w:rsidRPr="000211CA">
        <w:t>7.</w:t>
      </w:r>
      <w:r w:rsidRPr="008A1E52">
        <w:tab/>
      </w:r>
      <w:r w:rsidRPr="000211CA">
        <w:t>The PJ erred in finding that the Minister had not misunderstood her powers when purporting to designate and declare Deripaska under reg 6 (at [145], [155]-[157]).</w:t>
      </w:r>
    </w:p>
    <w:p w14:paraId="62CC5272" w14:textId="2CCC9478" w:rsidR="000211CA" w:rsidRPr="00087CA8" w:rsidRDefault="00D82F64" w:rsidP="00087CA8">
      <w:pPr>
        <w:pStyle w:val="Quote1"/>
        <w:rPr>
          <w:b/>
          <w:bCs/>
          <w:i/>
          <w:iCs/>
        </w:rPr>
      </w:pPr>
      <w:r w:rsidRPr="00087CA8">
        <w:rPr>
          <w:b/>
          <w:bCs/>
          <w:i/>
          <w:iCs/>
        </w:rPr>
        <w:t>Costs</w:t>
      </w:r>
      <w:r w:rsidR="003A1067" w:rsidRPr="00087CA8">
        <w:rPr>
          <w:b/>
          <w:bCs/>
          <w:i/>
          <w:iCs/>
        </w:rPr>
        <w:t xml:space="preserve"> </w:t>
      </w:r>
      <w:r w:rsidR="00FF4365">
        <w:rPr>
          <w:b/>
          <w:bCs/>
        </w:rPr>
        <w:t>[</w:t>
      </w:r>
      <w:r w:rsidR="00201F1C" w:rsidRPr="00276A43">
        <w:rPr>
          <w:b/>
          <w:bCs/>
        </w:rPr>
        <w:t xml:space="preserve">ANOA </w:t>
      </w:r>
      <w:r w:rsidR="003A1067" w:rsidRPr="00276A43">
        <w:rPr>
          <w:b/>
          <w:bCs/>
        </w:rPr>
        <w:t>Ground 8</w:t>
      </w:r>
      <w:r w:rsidR="00FF4365">
        <w:rPr>
          <w:b/>
          <w:bCs/>
        </w:rPr>
        <w:t>]</w:t>
      </w:r>
    </w:p>
    <w:p w14:paraId="7EB0DA08" w14:textId="0357E00C" w:rsidR="00D82F64" w:rsidRDefault="003A1067" w:rsidP="00087CA8">
      <w:pPr>
        <w:pStyle w:val="Quote2"/>
        <w:ind w:left="2160" w:hanging="720"/>
      </w:pPr>
      <w:r>
        <w:t>8</w:t>
      </w:r>
      <w:r w:rsidR="00D82F64" w:rsidRPr="00354B31">
        <w:t>.</w:t>
      </w:r>
      <w:r w:rsidR="00D82F64">
        <w:tab/>
      </w:r>
      <w:r w:rsidR="00D82F64" w:rsidRPr="00354B31">
        <w:t>The PJ erred in ordering Deripaska to pay the Minister’s costs (irrespective of whether the PJ’s decision was otherwise correct).</w:t>
      </w:r>
    </w:p>
    <w:p w14:paraId="585A9E72" w14:textId="1CD2EC9F" w:rsidR="005E197A" w:rsidRDefault="0045378E" w:rsidP="00D82F64">
      <w:pPr>
        <w:pStyle w:val="ParaNumbering"/>
        <w:tabs>
          <w:tab w:val="clear" w:pos="720"/>
        </w:tabs>
      </w:pPr>
      <w:r>
        <w:t xml:space="preserve">The </w:t>
      </w:r>
      <w:r w:rsidR="005E197A">
        <w:t>issues central to this appeal</w:t>
      </w:r>
      <w:r>
        <w:t xml:space="preserve"> are</w:t>
      </w:r>
      <w:r w:rsidR="005E197A">
        <w:t>:</w:t>
      </w:r>
    </w:p>
    <w:p w14:paraId="277D716E" w14:textId="035435C0" w:rsidR="005E197A" w:rsidRDefault="005055DC" w:rsidP="005E197A">
      <w:pPr>
        <w:pStyle w:val="ListNo1alt"/>
      </w:pPr>
      <w:r>
        <w:t>w</w:t>
      </w:r>
      <w:r w:rsidR="008B3A0A">
        <w:t>hether</w:t>
      </w:r>
      <w:r w:rsidR="005E197A">
        <w:t xml:space="preserve"> the </w:t>
      </w:r>
      <w:r w:rsidR="005E197A" w:rsidRPr="00872EE9">
        <w:t>Act and</w:t>
      </w:r>
      <w:r w:rsidR="00872EE9">
        <w:t xml:space="preserve"> the</w:t>
      </w:r>
      <w:r w:rsidR="005E197A" w:rsidRPr="00872EE9">
        <w:t xml:space="preserve"> Regulations</w:t>
      </w:r>
      <w:r w:rsidR="005E197A">
        <w:rPr>
          <w:i/>
          <w:iCs/>
        </w:rPr>
        <w:t xml:space="preserve"> </w:t>
      </w:r>
      <w:r w:rsidR="008B3A0A">
        <w:t xml:space="preserve">can </w:t>
      </w:r>
      <w:r w:rsidR="005E197A">
        <w:t xml:space="preserve">be read </w:t>
      </w:r>
      <w:proofErr w:type="gramStart"/>
      <w:r w:rsidR="005E197A">
        <w:t>down</w:t>
      </w:r>
      <w:r w:rsidR="00B84C10">
        <w:t>;</w:t>
      </w:r>
      <w:proofErr w:type="gramEnd"/>
    </w:p>
    <w:p w14:paraId="12753FA9" w14:textId="3F688C65" w:rsidR="005E197A" w:rsidRDefault="005055DC" w:rsidP="005E197A">
      <w:pPr>
        <w:pStyle w:val="ListNo1alt"/>
      </w:pPr>
      <w:r>
        <w:t>w</w:t>
      </w:r>
      <w:r w:rsidR="008B3A0A">
        <w:t>hether</w:t>
      </w:r>
      <w:r w:rsidR="005E197A">
        <w:t xml:space="preserve"> the Regulations remain valid if they are inconsistent with Ch III of the </w:t>
      </w:r>
      <w:r w:rsidR="005E197A" w:rsidRPr="001D11D0">
        <w:rPr>
          <w:i/>
          <w:iCs/>
        </w:rPr>
        <w:t>Constitution</w:t>
      </w:r>
      <w:r>
        <w:t>;</w:t>
      </w:r>
      <w:r w:rsidR="00C97F39">
        <w:t xml:space="preserve"> and</w:t>
      </w:r>
    </w:p>
    <w:p w14:paraId="062F873D" w14:textId="42A2C97B" w:rsidR="00FF4CC7" w:rsidRPr="00FF4CC7" w:rsidRDefault="005055DC" w:rsidP="005E197A">
      <w:pPr>
        <w:pStyle w:val="ListNo1alt"/>
      </w:pPr>
      <w:r>
        <w:t>w</w:t>
      </w:r>
      <w:r w:rsidR="008B3A0A">
        <w:t>hether</w:t>
      </w:r>
      <w:r w:rsidR="005E197A">
        <w:t xml:space="preserve"> the </w:t>
      </w:r>
      <w:r w:rsidR="005E197A" w:rsidRPr="00045FED">
        <w:t>Minister</w:t>
      </w:r>
      <w:r w:rsidR="005E197A">
        <w:t xml:space="preserve"> misapprehend</w:t>
      </w:r>
      <w:r w:rsidR="008B3A0A">
        <w:t>ed</w:t>
      </w:r>
      <w:r w:rsidR="005E197A">
        <w:t xml:space="preserve"> her power</w:t>
      </w:r>
      <w:r w:rsidR="00B37773">
        <w:t>s</w:t>
      </w:r>
      <w:r>
        <w:t>.</w:t>
      </w:r>
    </w:p>
    <w:p w14:paraId="191913A0" w14:textId="17231800" w:rsidR="00CF499A" w:rsidRDefault="00D455F6" w:rsidP="00FF4CC7">
      <w:pPr>
        <w:pStyle w:val="Heading1"/>
      </w:pPr>
      <w:bookmarkStart w:id="25" w:name="_Ref193875037"/>
      <w:r>
        <w:t>T</w:t>
      </w:r>
      <w:r w:rsidR="00C0162E">
        <w:t>he statutory regime</w:t>
      </w:r>
      <w:bookmarkEnd w:id="25"/>
    </w:p>
    <w:p w14:paraId="11F87805" w14:textId="128B0D17" w:rsidR="0011454E" w:rsidRDefault="0011454E" w:rsidP="0011454E">
      <w:pPr>
        <w:pStyle w:val="Heading2"/>
      </w:pPr>
      <w:bookmarkStart w:id="26" w:name="_Ref193875038"/>
      <w:r>
        <w:t>The Act</w:t>
      </w:r>
      <w:bookmarkEnd w:id="26"/>
    </w:p>
    <w:p w14:paraId="03F45FD3" w14:textId="2DC4E392" w:rsidR="0011454E" w:rsidRDefault="00C30F31" w:rsidP="00363C8A">
      <w:pPr>
        <w:pStyle w:val="ParaNumbering"/>
      </w:pPr>
      <w:r>
        <w:t xml:space="preserve">As the long title to the Act suggests, </w:t>
      </w:r>
      <w:r w:rsidR="001D78BF">
        <w:t>its</w:t>
      </w:r>
      <w:r>
        <w:t xml:space="preserve"> object</w:t>
      </w:r>
      <w:r w:rsidR="00492BAF">
        <w:t>s</w:t>
      </w:r>
      <w:r>
        <w:t xml:space="preserve"> </w:t>
      </w:r>
      <w:r w:rsidR="001D78BF">
        <w:t xml:space="preserve">are </w:t>
      </w:r>
      <w:r w:rsidRPr="00C30F31">
        <w:t>to make provision relating to sanctions to facilitate the conduct of Australia</w:t>
      </w:r>
      <w:r w:rsidR="00496183">
        <w:t>’</w:t>
      </w:r>
      <w:r w:rsidRPr="00C30F31">
        <w:t>s external affairs</w:t>
      </w:r>
      <w:r w:rsidR="008813B0">
        <w:t xml:space="preserve">. </w:t>
      </w:r>
      <w:r w:rsidR="00D903E8">
        <w:t>S</w:t>
      </w:r>
      <w:r w:rsidR="001528BB">
        <w:t>uch sanctions may be country-specific or thematic, that is, directed</w:t>
      </w:r>
      <w:r w:rsidR="00363C8A">
        <w:t xml:space="preserve"> towards issues of international concern such as </w:t>
      </w:r>
      <w:r w:rsidR="0011454E">
        <w:t>threats to international peace and security</w:t>
      </w:r>
      <w:r w:rsidR="00D903E8">
        <w:t xml:space="preserve">: </w:t>
      </w:r>
      <w:r w:rsidR="00D903E8" w:rsidRPr="0083283B">
        <w:t>s</w:t>
      </w:r>
      <w:r w:rsidR="009B2BB2">
        <w:t>s</w:t>
      </w:r>
      <w:r w:rsidR="00D903E8" w:rsidRPr="0083283B">
        <w:t xml:space="preserve"> 3(1)</w:t>
      </w:r>
      <w:proofErr w:type="gramStart"/>
      <w:r w:rsidR="00747DEF" w:rsidRPr="0083283B">
        <w:t>–</w:t>
      </w:r>
      <w:r w:rsidR="00D903E8" w:rsidRPr="0083283B">
        <w:t>(</w:t>
      </w:r>
      <w:proofErr w:type="gramEnd"/>
      <w:r w:rsidR="00D903E8" w:rsidRPr="0083283B">
        <w:t>3)</w:t>
      </w:r>
      <w:r w:rsidR="0011454E">
        <w:t>.</w:t>
      </w:r>
    </w:p>
    <w:p w14:paraId="510CDFD8" w14:textId="218452E5" w:rsidR="0011454E" w:rsidRDefault="00673774" w:rsidP="0011454E">
      <w:pPr>
        <w:pStyle w:val="ParaNumbering"/>
      </w:pPr>
      <w:r>
        <w:t>“</w:t>
      </w:r>
      <w:r w:rsidR="0011454E">
        <w:t>Autonomous sanctions</w:t>
      </w:r>
      <w:r>
        <w:t>”</w:t>
      </w:r>
      <w:r w:rsidR="0011454E">
        <w:t xml:space="preserve"> are defined </w:t>
      </w:r>
      <w:r w:rsidR="007E6949">
        <w:t>broadly</w:t>
      </w:r>
      <w:r w:rsidR="005105F8">
        <w:t>,</w:t>
      </w:r>
      <w:r w:rsidR="007E6949">
        <w:t xml:space="preserve"> </w:t>
      </w:r>
      <w:r w:rsidR="0011454E">
        <w:t>in</w:t>
      </w:r>
      <w:r w:rsidR="002800B0">
        <w:t xml:space="preserve"> s 4 of</w:t>
      </w:r>
      <w:r w:rsidR="0011454E">
        <w:t xml:space="preserve"> the Act</w:t>
      </w:r>
      <w:r w:rsidR="005105F8">
        <w:t>,</w:t>
      </w:r>
      <w:r w:rsidR="0011454E">
        <w:t xml:space="preserve"> to mean sanction</w:t>
      </w:r>
      <w:r w:rsidR="00E80272">
        <w:t>s</w:t>
      </w:r>
      <w:r w:rsidR="0011454E">
        <w:t xml:space="preserve"> that:</w:t>
      </w:r>
    </w:p>
    <w:p w14:paraId="75F4322A" w14:textId="54D76A36" w:rsidR="0011454E" w:rsidRDefault="007E6949" w:rsidP="0011454E">
      <w:pPr>
        <w:pStyle w:val="ListNo1alt"/>
        <w:numPr>
          <w:ilvl w:val="0"/>
          <w:numId w:val="28"/>
        </w:numPr>
      </w:pPr>
      <w:r>
        <w:t>are</w:t>
      </w:r>
      <w:r w:rsidR="0011454E">
        <w:t xml:space="preserve"> intended to influence</w:t>
      </w:r>
      <w:r w:rsidR="007242C3">
        <w:t xml:space="preserve"> </w:t>
      </w:r>
      <w:r w:rsidR="0011454E">
        <w:t>foreign government</w:t>
      </w:r>
      <w:r w:rsidR="00BC670E">
        <w:t>s</w:t>
      </w:r>
      <w:r w:rsidR="00203EF7">
        <w:t xml:space="preserve">, </w:t>
      </w:r>
      <w:r w:rsidR="0011454E">
        <w:t>pers</w:t>
      </w:r>
      <w:r w:rsidR="007242C3">
        <w:t>ons</w:t>
      </w:r>
      <w:r w:rsidR="0011454E">
        <w:t xml:space="preserve"> or entit</w:t>
      </w:r>
      <w:r w:rsidR="007242C3">
        <w:t>ies</w:t>
      </w:r>
      <w:r w:rsidR="0011454E">
        <w:t xml:space="preserve"> outside Australia</w:t>
      </w:r>
      <w:r w:rsidR="007242C3">
        <w:t xml:space="preserve"> in accordance with Australian Government policy</w:t>
      </w:r>
      <w:r w:rsidR="0011454E">
        <w:t xml:space="preserve">; or </w:t>
      </w:r>
    </w:p>
    <w:p w14:paraId="34356726" w14:textId="0930FF0E" w:rsidR="0011454E" w:rsidRDefault="0011454E" w:rsidP="0011454E">
      <w:pPr>
        <w:pStyle w:val="ListNo1alt"/>
        <w:numPr>
          <w:ilvl w:val="0"/>
          <w:numId w:val="28"/>
        </w:numPr>
      </w:pPr>
      <w:r>
        <w:t>involve the prohibition of conduct in or connected with Australia that facilit</w:t>
      </w:r>
      <w:r w:rsidR="00E557F1">
        <w:t>at</w:t>
      </w:r>
      <w:r>
        <w:t>es</w:t>
      </w:r>
      <w:r w:rsidR="00673774">
        <w:t xml:space="preserve"> </w:t>
      </w:r>
      <w:r>
        <w:t xml:space="preserve">the engagement by a person or entity in </w:t>
      </w:r>
      <w:r w:rsidR="0095663F">
        <w:t>conduct</w:t>
      </w:r>
      <w:r>
        <w:t xml:space="preserve"> outside Australia that is contrary to Australian Government policy.</w:t>
      </w:r>
    </w:p>
    <w:p w14:paraId="509B5E06" w14:textId="37B56F7D" w:rsidR="008C678F" w:rsidRDefault="008C678F" w:rsidP="00A67C4D">
      <w:pPr>
        <w:pStyle w:val="ParaNumbering"/>
        <w:keepLines/>
      </w:pPr>
      <w:proofErr w:type="gramStart"/>
      <w:r>
        <w:lastRenderedPageBreak/>
        <w:t>For the purpose of</w:t>
      </w:r>
      <w:proofErr w:type="gramEnd"/>
      <w:r>
        <w:t xml:space="preserve"> furthering the main objects of the Act, </w:t>
      </w:r>
      <w:r w:rsidRPr="00552CDC">
        <w:t>the Minister may</w:t>
      </w:r>
      <w:r w:rsidR="00E06E52">
        <w:t>,</w:t>
      </w:r>
      <w:r w:rsidRPr="00552CDC">
        <w:t xml:space="preserve"> by legislative instrument</w:t>
      </w:r>
      <w:r w:rsidR="00E06E52">
        <w:t>,</w:t>
      </w:r>
      <w:r w:rsidRPr="00552CDC">
        <w:t xml:space="preserve"> specify a provision of a law of the Commonwealth as a </w:t>
      </w:r>
      <w:r w:rsidR="005024D5">
        <w:t>“</w:t>
      </w:r>
      <w:r w:rsidRPr="00552CDC">
        <w:t>sanction law</w:t>
      </w:r>
      <w:r w:rsidR="005024D5">
        <w:t>”</w:t>
      </w:r>
      <w:r w:rsidR="00E17062">
        <w:t xml:space="preserve">: </w:t>
      </w:r>
      <w:r w:rsidR="00E17062" w:rsidRPr="0083283B">
        <w:t>s 6(1)</w:t>
      </w:r>
      <w:r>
        <w:t xml:space="preserve">. </w:t>
      </w:r>
      <w:r w:rsidR="00E17062">
        <w:t>The</w:t>
      </w:r>
      <w:r w:rsidR="00E17062" w:rsidRPr="00E17062">
        <w:t xml:space="preserve"> Act does not limit the operation of other laws of the Commonwealth so far as they operate to provide for</w:t>
      </w:r>
      <w:r w:rsidR="007C45DD">
        <w:t>,</w:t>
      </w:r>
      <w:r w:rsidR="00E17062" w:rsidRPr="00E17062">
        <w:t xml:space="preserve"> or operate in relation to</w:t>
      </w:r>
      <w:r w:rsidR="007C45DD">
        <w:t>,</w:t>
      </w:r>
      <w:r w:rsidR="00E17062" w:rsidRPr="00E17062">
        <w:t xml:space="preserve"> autonomous sanctions</w:t>
      </w:r>
      <w:r w:rsidR="00E17062">
        <w:t xml:space="preserve">: </w:t>
      </w:r>
      <w:r w:rsidR="00E17062" w:rsidRPr="0083283B">
        <w:t>s 9</w:t>
      </w:r>
      <w:r w:rsidR="00E17062" w:rsidRPr="00E17062">
        <w:t>.</w:t>
      </w:r>
    </w:p>
    <w:p w14:paraId="7FC2FA3D" w14:textId="3A18F698" w:rsidR="0011454E" w:rsidRDefault="00B24429" w:rsidP="001733BA">
      <w:pPr>
        <w:pStyle w:val="ParaNumbering"/>
        <w:keepNext/>
        <w:keepLines/>
      </w:pPr>
      <w:r>
        <w:t xml:space="preserve">The Act operates principally by authorising the making of regulations which impose sanctions of the kinds contemplated. </w:t>
      </w:r>
      <w:r w:rsidR="008813DA" w:rsidRPr="0083283B">
        <w:t>Section 10</w:t>
      </w:r>
      <w:r w:rsidR="00344389">
        <w:t xml:space="preserve"> </w:t>
      </w:r>
      <w:r>
        <w:t xml:space="preserve">expressly </w:t>
      </w:r>
      <w:r w:rsidR="0011454E">
        <w:t xml:space="preserve">provides for the making of </w:t>
      </w:r>
      <w:r w:rsidR="00344389">
        <w:t xml:space="preserve">sanctions by </w:t>
      </w:r>
      <w:r w:rsidR="0011454E">
        <w:t>regulations</w:t>
      </w:r>
      <w:r w:rsidR="001733BA">
        <w:t>, as follows</w:t>
      </w:r>
      <w:r w:rsidR="0011454E">
        <w:t>:</w:t>
      </w:r>
    </w:p>
    <w:p w14:paraId="7606E367" w14:textId="77777777" w:rsidR="0011454E" w:rsidRPr="00087CA8" w:rsidRDefault="0011454E" w:rsidP="00EC536C">
      <w:pPr>
        <w:pStyle w:val="Quote1"/>
        <w:rPr>
          <w:b/>
          <w:bCs/>
        </w:rPr>
      </w:pPr>
      <w:r w:rsidRPr="00087CA8">
        <w:rPr>
          <w:b/>
          <w:bCs/>
        </w:rPr>
        <w:t>Part 2—Regulations to provide for sanctions</w:t>
      </w:r>
    </w:p>
    <w:p w14:paraId="014EE055" w14:textId="77777777" w:rsidR="0011454E" w:rsidRPr="00087CA8" w:rsidRDefault="0011454E" w:rsidP="00EC536C">
      <w:pPr>
        <w:pStyle w:val="Quote1"/>
        <w:rPr>
          <w:b/>
          <w:bCs/>
        </w:rPr>
      </w:pPr>
      <w:r w:rsidRPr="00087CA8">
        <w:rPr>
          <w:b/>
          <w:bCs/>
        </w:rPr>
        <w:t xml:space="preserve">Division 1—Making and effect of regulations </w:t>
      </w:r>
    </w:p>
    <w:p w14:paraId="4A00BE5F" w14:textId="77777777" w:rsidR="0011454E" w:rsidRDefault="0011454E" w:rsidP="00EC536C">
      <w:pPr>
        <w:pStyle w:val="Quote1"/>
      </w:pPr>
      <w:r w:rsidRPr="00087CA8">
        <w:rPr>
          <w:b/>
          <w:bCs/>
        </w:rPr>
        <w:t>10 Regulations may apply sanctions</w:t>
      </w:r>
    </w:p>
    <w:p w14:paraId="29176918" w14:textId="4E0BB8D7" w:rsidR="006C4D8B" w:rsidRDefault="006C4D8B" w:rsidP="0021363B">
      <w:pPr>
        <w:pStyle w:val="Quote2"/>
        <w:ind w:left="1752" w:hanging="312"/>
      </w:pPr>
      <w:r>
        <w:t>(1)</w:t>
      </w:r>
      <w:r w:rsidR="00967388">
        <w:t> </w:t>
      </w:r>
      <w:r>
        <w:t xml:space="preserve">The regulations may make provision relating to any or </w:t>
      </w:r>
      <w:proofErr w:type="gramStart"/>
      <w:r>
        <w:t>all of</w:t>
      </w:r>
      <w:proofErr w:type="gramEnd"/>
      <w:r>
        <w:t xml:space="preserve"> the following:</w:t>
      </w:r>
    </w:p>
    <w:p w14:paraId="40FA1CA2" w14:textId="27F408D1" w:rsidR="006C4D8B" w:rsidRDefault="006C4D8B" w:rsidP="0021363B">
      <w:pPr>
        <w:pStyle w:val="Quote3"/>
        <w:ind w:left="2472" w:hanging="312"/>
      </w:pPr>
      <w:r>
        <w:t>(a)</w:t>
      </w:r>
      <w:r w:rsidR="00967388">
        <w:t> </w:t>
      </w:r>
      <w:r>
        <w:t>proscription of persons or entities (for specified purposes or more generally</w:t>
      </w:r>
      <w:proofErr w:type="gramStart"/>
      <w:r>
        <w:t>);</w:t>
      </w:r>
      <w:proofErr w:type="gramEnd"/>
    </w:p>
    <w:p w14:paraId="0AD19B12" w14:textId="4A8CFB4F" w:rsidR="006C4D8B" w:rsidRDefault="006C4D8B" w:rsidP="0021363B">
      <w:pPr>
        <w:pStyle w:val="Quote3"/>
        <w:ind w:left="2472" w:hanging="312"/>
      </w:pPr>
      <w:r>
        <w:t>(b)</w:t>
      </w:r>
      <w:r w:rsidR="00967388">
        <w:t> </w:t>
      </w:r>
      <w:r>
        <w:t xml:space="preserve">restriction or prevention of uses </w:t>
      </w:r>
      <w:proofErr w:type="gramStart"/>
      <w:r>
        <w:t>of,</w:t>
      </w:r>
      <w:proofErr w:type="gramEnd"/>
      <w:r>
        <w:t xml:space="preserve"> dealings with, and making available of, assets;</w:t>
      </w:r>
    </w:p>
    <w:p w14:paraId="1EE4886F" w14:textId="281B642B" w:rsidR="006C4D8B" w:rsidRDefault="006C4D8B" w:rsidP="0021363B">
      <w:pPr>
        <w:pStyle w:val="Quote3"/>
        <w:ind w:left="2472" w:hanging="312"/>
      </w:pPr>
      <w:r>
        <w:t>(c)</w:t>
      </w:r>
      <w:r w:rsidR="00967388">
        <w:t> </w:t>
      </w:r>
      <w:r>
        <w:t xml:space="preserve">restriction or prevention of the supply, sale or transfer of goods or </w:t>
      </w:r>
      <w:proofErr w:type="gramStart"/>
      <w:r>
        <w:t>services;</w:t>
      </w:r>
      <w:proofErr w:type="gramEnd"/>
    </w:p>
    <w:p w14:paraId="433C5CA4" w14:textId="7BCE5F5E" w:rsidR="006C4D8B" w:rsidRDefault="006C4D8B" w:rsidP="0021363B">
      <w:pPr>
        <w:pStyle w:val="Quote3"/>
        <w:ind w:left="2472" w:hanging="312"/>
      </w:pPr>
      <w:r>
        <w:t>(d)</w:t>
      </w:r>
      <w:r w:rsidR="00967388">
        <w:t> </w:t>
      </w:r>
      <w:r>
        <w:t xml:space="preserve">restriction or prevention of the procurement of goods or </w:t>
      </w:r>
      <w:proofErr w:type="gramStart"/>
      <w:r>
        <w:t>services;</w:t>
      </w:r>
      <w:proofErr w:type="gramEnd"/>
    </w:p>
    <w:p w14:paraId="05E89BE4" w14:textId="30BBA684" w:rsidR="006C4D8B" w:rsidRDefault="006C4D8B" w:rsidP="0021363B">
      <w:pPr>
        <w:pStyle w:val="Quote3"/>
        <w:ind w:left="2472" w:hanging="312"/>
      </w:pPr>
      <w:r>
        <w:t>(e)</w:t>
      </w:r>
      <w:r w:rsidR="00967388">
        <w:t> </w:t>
      </w:r>
      <w:r>
        <w:t xml:space="preserve">provision for indemnities for acting in compliance or purported compliance with the </w:t>
      </w:r>
      <w:proofErr w:type="gramStart"/>
      <w:r>
        <w:t>regulations;</w:t>
      </w:r>
      <w:proofErr w:type="gramEnd"/>
    </w:p>
    <w:p w14:paraId="2A468FEC" w14:textId="4363039C" w:rsidR="006C4D8B" w:rsidRDefault="006C4D8B" w:rsidP="0021363B">
      <w:pPr>
        <w:pStyle w:val="Quote3"/>
        <w:ind w:left="2472" w:hanging="312"/>
      </w:pPr>
      <w:r>
        <w:t>(f)</w:t>
      </w:r>
      <w:r w:rsidR="00967388">
        <w:t> </w:t>
      </w:r>
      <w:r>
        <w:t>provision for compensation for owners of assets that are affected by regulations relating to a restriction or prevention described in paragraph (b).</w:t>
      </w:r>
    </w:p>
    <w:p w14:paraId="3C3DA433" w14:textId="06046162" w:rsidR="006C4D8B" w:rsidRDefault="006C4D8B" w:rsidP="0021363B">
      <w:pPr>
        <w:pStyle w:val="Quote2"/>
        <w:ind w:left="1752" w:hanging="312"/>
      </w:pPr>
      <w:r>
        <w:t>(2)</w:t>
      </w:r>
      <w:r w:rsidR="00967388">
        <w:t> </w:t>
      </w:r>
      <w:r>
        <w:t>Before the Governor-General makes regulations for the purposes of subsection (1), the Minister must be satisfied that the proposed regulations:</w:t>
      </w:r>
    </w:p>
    <w:p w14:paraId="3A239B1A" w14:textId="4682D91D" w:rsidR="00897889" w:rsidRDefault="006C4D8B" w:rsidP="0021363B">
      <w:pPr>
        <w:pStyle w:val="Quote3"/>
        <w:ind w:left="2472" w:hanging="312"/>
      </w:pPr>
      <w:r>
        <w:t>(a)</w:t>
      </w:r>
      <w:r w:rsidR="00967388">
        <w:t> </w:t>
      </w:r>
      <w:r>
        <w:t>will facilitate the conduct of Australia’s relations with other countries or with entities or persons outside Australia; or</w:t>
      </w:r>
    </w:p>
    <w:p w14:paraId="10C92226" w14:textId="24D00B0C" w:rsidR="006C4D8B" w:rsidRDefault="006C4D8B" w:rsidP="0021363B">
      <w:pPr>
        <w:pStyle w:val="Quote3"/>
        <w:ind w:left="2472" w:hanging="312"/>
      </w:pPr>
      <w:r>
        <w:t>(b)</w:t>
      </w:r>
      <w:r w:rsidR="00897889">
        <w:t> </w:t>
      </w:r>
      <w:r>
        <w:t>will otherwise deal with matters, things or relationships outside Australia.</w:t>
      </w:r>
    </w:p>
    <w:p w14:paraId="1EA63AAD" w14:textId="04842D57" w:rsidR="00101A12" w:rsidRDefault="006C4D8B" w:rsidP="0021363B">
      <w:pPr>
        <w:pStyle w:val="Quote2"/>
        <w:ind w:left="1752" w:hanging="312"/>
      </w:pPr>
      <w:r>
        <w:t>(3)</w:t>
      </w:r>
      <w:r w:rsidR="00967388">
        <w:t> </w:t>
      </w:r>
      <w:r>
        <w:t xml:space="preserve">Despite subsection 14(2) of the </w:t>
      </w:r>
      <w:r w:rsidRPr="00276A43">
        <w:rPr>
          <w:i/>
          <w:iCs/>
        </w:rPr>
        <w:t>Legislation Act 2003</w:t>
      </w:r>
      <w:r>
        <w:t xml:space="preserve">, regulations made for the purposes of subsection (1) may make provision in relation to a matter by applying, adopting or incorporating any matter contained in an instrument or other writing as in force or existing from time to time. </w:t>
      </w:r>
    </w:p>
    <w:p w14:paraId="7358E389" w14:textId="7ACD7083" w:rsidR="00F73D27" w:rsidRDefault="00F73D27" w:rsidP="00E86956">
      <w:pPr>
        <w:pStyle w:val="ParaNumbering"/>
        <w:keepNext/>
        <w:keepLines/>
      </w:pPr>
      <w:r w:rsidRPr="0083283B">
        <w:lastRenderedPageBreak/>
        <w:t>Section 12</w:t>
      </w:r>
      <w:r w:rsidR="00355DC6">
        <w:t xml:space="preserve"> deals with the effect of </w:t>
      </w:r>
      <w:r w:rsidR="007A5A68">
        <w:t>regulations and provides:</w:t>
      </w:r>
    </w:p>
    <w:p w14:paraId="02366B10" w14:textId="44854926" w:rsidR="00F80485" w:rsidRPr="00087CA8" w:rsidRDefault="00F80485" w:rsidP="00E86956">
      <w:pPr>
        <w:pStyle w:val="Quote1"/>
        <w:keepNext/>
        <w:keepLines/>
        <w:rPr>
          <w:b/>
          <w:bCs/>
        </w:rPr>
      </w:pPr>
      <w:r w:rsidRPr="00087CA8">
        <w:rPr>
          <w:b/>
          <w:bCs/>
        </w:rPr>
        <w:t>12 Effect of regulations on earlier Commonwealth Acts and on State and Territory laws</w:t>
      </w:r>
    </w:p>
    <w:p w14:paraId="12DA297D" w14:textId="188A06DF" w:rsidR="007A5A68" w:rsidRDefault="007A5A68" w:rsidP="00A67C4D">
      <w:pPr>
        <w:pStyle w:val="Quote2"/>
        <w:keepNext/>
        <w:keepLines/>
      </w:pPr>
      <w:r>
        <w:t>The regulations have effect despite:</w:t>
      </w:r>
    </w:p>
    <w:p w14:paraId="56764C3E" w14:textId="6D7FE93B" w:rsidR="007A5A68" w:rsidRDefault="007A5A68" w:rsidP="00A67C4D">
      <w:pPr>
        <w:pStyle w:val="Quote3"/>
        <w:keepNext/>
        <w:keepLines/>
        <w:ind w:left="2472" w:hanging="312"/>
      </w:pPr>
      <w:bookmarkStart w:id="27" w:name="paragraph"/>
      <w:r>
        <w:t>(a) an Act enacted before the commencement of this section; or</w:t>
      </w:r>
    </w:p>
    <w:p w14:paraId="1357CA55" w14:textId="1C289077" w:rsidR="007A5A68" w:rsidRDefault="007A5A68" w:rsidP="00A67C4D">
      <w:pPr>
        <w:pStyle w:val="Quote3"/>
        <w:keepNext/>
        <w:keepLines/>
        <w:ind w:left="2472" w:hanging="312"/>
      </w:pPr>
      <w:r>
        <w:t>(b) an instrument made under such an Act (including such an instrument made at or after that commencement); or</w:t>
      </w:r>
    </w:p>
    <w:p w14:paraId="29F9D042" w14:textId="1432FE18" w:rsidR="007A5A68" w:rsidRDefault="007A5A68" w:rsidP="00A67C4D">
      <w:pPr>
        <w:pStyle w:val="Quote3"/>
        <w:keepNext/>
        <w:keepLines/>
        <w:ind w:left="2472" w:hanging="312"/>
      </w:pPr>
      <w:r>
        <w:t>(c) a law of a State or Territory; or</w:t>
      </w:r>
    </w:p>
    <w:bookmarkEnd w:id="27"/>
    <w:p w14:paraId="6FB74259" w14:textId="55B65DB6" w:rsidR="007A5A68" w:rsidRDefault="007A5A68" w:rsidP="00A67C4D">
      <w:pPr>
        <w:pStyle w:val="Quote3"/>
        <w:keepNext/>
        <w:keepLines/>
        <w:ind w:left="2472" w:hanging="312"/>
      </w:pPr>
      <w:r>
        <w:t>(d) an instrument made under such a law.</w:t>
      </w:r>
    </w:p>
    <w:p w14:paraId="4938E1CB" w14:textId="0B28E157" w:rsidR="003646BC" w:rsidRDefault="00F753EF" w:rsidP="003646BC">
      <w:pPr>
        <w:pStyle w:val="ParaNumbering"/>
        <w:rPr>
          <w:lang w:eastAsia="en-AU"/>
        </w:rPr>
      </w:pPr>
      <w:r>
        <w:t xml:space="preserve">Part 3 of the Act concerns offences relating to sanctions. </w:t>
      </w:r>
      <w:r w:rsidR="008D32B0" w:rsidRPr="0083283B">
        <w:t>Section</w:t>
      </w:r>
      <w:r w:rsidR="00EB3B12" w:rsidRPr="0083283B">
        <w:t> </w:t>
      </w:r>
      <w:r w:rsidR="008D32B0" w:rsidRPr="0083283B">
        <w:t>16</w:t>
      </w:r>
      <w:r w:rsidR="008D32B0">
        <w:t xml:space="preserve"> </w:t>
      </w:r>
      <w:r w:rsidR="00F657F9">
        <w:t xml:space="preserve">of the Act </w:t>
      </w:r>
      <w:r w:rsidR="008D32B0">
        <w:t xml:space="preserve">makes it an offence for individuals or bodies corporate to contravene a sanction law. </w:t>
      </w:r>
      <w:r w:rsidR="003646BC">
        <w:t>Contraventions of the regulations may also be an offence against s 16 of the Act.</w:t>
      </w:r>
    </w:p>
    <w:p w14:paraId="70D2F0C6" w14:textId="77777777" w:rsidR="0011454E" w:rsidRDefault="0011454E" w:rsidP="0011454E">
      <w:pPr>
        <w:pStyle w:val="Heading2"/>
      </w:pPr>
      <w:bookmarkStart w:id="28" w:name="subsection"/>
      <w:bookmarkStart w:id="29" w:name="_Ref193875039"/>
      <w:bookmarkEnd w:id="28"/>
      <w:r>
        <w:t>The Regulations</w:t>
      </w:r>
      <w:bookmarkEnd w:id="29"/>
    </w:p>
    <w:p w14:paraId="4DD87145" w14:textId="068522C6" w:rsidR="0011454E" w:rsidRDefault="00F753EF" w:rsidP="0011454E">
      <w:pPr>
        <w:pStyle w:val="ParaNumbering"/>
      </w:pPr>
      <w:r>
        <w:t>Part 2 of t</w:t>
      </w:r>
      <w:r w:rsidR="0011454E">
        <w:t>he Regulation</w:t>
      </w:r>
      <w:r w:rsidR="007531CB">
        <w:t>s</w:t>
      </w:r>
      <w:r w:rsidR="0011454E">
        <w:t xml:space="preserve"> provide for </w:t>
      </w:r>
      <w:r w:rsidR="00F2711C">
        <w:t>the imposition of sanctions</w:t>
      </w:r>
      <w:r>
        <w:t xml:space="preserve"> by reference to various criteria</w:t>
      </w:r>
      <w:r w:rsidR="00F2711C">
        <w:t>.</w:t>
      </w:r>
      <w:r>
        <w:t xml:space="preserve"> </w:t>
      </w:r>
      <w:r w:rsidR="003443EE">
        <w:t>The instruments designating and declaring the appellant were made under reg 6</w:t>
      </w:r>
      <w:r w:rsidR="004C2DDF">
        <w:t xml:space="preserve">, </w:t>
      </w:r>
      <w:r w:rsidR="00ED592A">
        <w:t xml:space="preserve">which </w:t>
      </w:r>
      <w:r w:rsidR="00F56E22">
        <w:t>provides</w:t>
      </w:r>
      <w:r w:rsidR="0011454E">
        <w:t>:</w:t>
      </w:r>
    </w:p>
    <w:p w14:paraId="037E32F8" w14:textId="77777777" w:rsidR="0011454E" w:rsidRDefault="0011454E" w:rsidP="0011454E">
      <w:pPr>
        <w:pStyle w:val="Quote1"/>
      </w:pPr>
      <w:r w:rsidRPr="00081377">
        <w:rPr>
          <w:b/>
          <w:bCs/>
        </w:rPr>
        <w:t>6 Country-specific designation of persons or entities or declaration of persons</w:t>
      </w:r>
      <w:r>
        <w:t xml:space="preserve"> </w:t>
      </w:r>
    </w:p>
    <w:p w14:paraId="1B7611D6" w14:textId="77777777" w:rsidR="0011454E" w:rsidRDefault="0011454E" w:rsidP="00967388">
      <w:pPr>
        <w:pStyle w:val="Quote2"/>
      </w:pPr>
      <w:r>
        <w:t>For paragraph 10(1)(a) of the Act, the Minister may, by legislative instrument, do either or both of the following:</w:t>
      </w:r>
    </w:p>
    <w:p w14:paraId="1B970BFF" w14:textId="646562B6" w:rsidR="0011454E" w:rsidRDefault="0011454E" w:rsidP="00967388">
      <w:pPr>
        <w:pStyle w:val="Quote3"/>
        <w:ind w:left="2472" w:hanging="312"/>
      </w:pPr>
      <w:r>
        <w:t>(a)</w:t>
      </w:r>
      <w:r w:rsidR="00080FE9">
        <w:t> </w:t>
      </w:r>
      <w:r>
        <w:t xml:space="preserve">designate a person or entity mentioned in an item of the table as a designated person or entity for the country mentioned in the </w:t>
      </w:r>
      <w:proofErr w:type="gramStart"/>
      <w:r>
        <w:t>item;</w:t>
      </w:r>
      <w:proofErr w:type="gramEnd"/>
    </w:p>
    <w:p w14:paraId="0CB3F388" w14:textId="3BBE26B1" w:rsidR="0011454E" w:rsidRDefault="0011454E" w:rsidP="00967388">
      <w:pPr>
        <w:pStyle w:val="Quote3"/>
        <w:ind w:left="2472" w:hanging="312"/>
      </w:pPr>
      <w:r>
        <w:t>(b)</w:t>
      </w:r>
      <w:r w:rsidR="00080FE9">
        <w:t> </w:t>
      </w:r>
      <w:r>
        <w:t>declare a person mentioned in an item of the table for the purpose of preventing the person from travelling to, entering or remaining in Australia.</w:t>
      </w:r>
    </w:p>
    <w:p w14:paraId="10275A09" w14:textId="77777777" w:rsidR="009E5F38" w:rsidRDefault="005F7FA2" w:rsidP="009E5F38">
      <w:pPr>
        <w:pStyle w:val="Quote1"/>
        <w:rPr>
          <w:b/>
          <w:bCs/>
        </w:rPr>
      </w:pPr>
      <w:r>
        <w:rPr>
          <w:b/>
          <w:bCs/>
        </w:rPr>
        <w:t>Countries, persons and entities</w:t>
      </w:r>
    </w:p>
    <w:tbl>
      <w:tblPr>
        <w:tblStyle w:val="TableGrid"/>
        <w:tblW w:w="0" w:type="auto"/>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1748"/>
        <w:gridCol w:w="5262"/>
      </w:tblGrid>
      <w:tr w:rsidR="00BB5945" w14:paraId="5D616712" w14:textId="77777777" w:rsidTr="00276A43">
        <w:tc>
          <w:tcPr>
            <w:tcW w:w="0" w:type="auto"/>
          </w:tcPr>
          <w:p w14:paraId="33674F54" w14:textId="2BB18F45" w:rsidR="003E0652" w:rsidRPr="00BB5945" w:rsidRDefault="003E0652" w:rsidP="00CF31B5">
            <w:pPr>
              <w:pStyle w:val="Quote1"/>
              <w:spacing w:line="240" w:lineRule="auto"/>
              <w:ind w:left="0"/>
              <w:rPr>
                <w:b/>
                <w:bCs/>
              </w:rPr>
            </w:pPr>
            <w:r w:rsidRPr="00BB5945">
              <w:rPr>
                <w:b/>
                <w:bCs/>
              </w:rPr>
              <w:t>Item</w:t>
            </w:r>
          </w:p>
        </w:tc>
        <w:tc>
          <w:tcPr>
            <w:tcW w:w="0" w:type="auto"/>
          </w:tcPr>
          <w:p w14:paraId="1D5B1D5D" w14:textId="0889480B" w:rsidR="003E0652" w:rsidRPr="00BB5945" w:rsidRDefault="003E0652" w:rsidP="00CF31B5">
            <w:pPr>
              <w:pStyle w:val="Quote1"/>
              <w:spacing w:line="240" w:lineRule="auto"/>
              <w:ind w:left="0"/>
              <w:rPr>
                <w:b/>
                <w:bCs/>
              </w:rPr>
            </w:pPr>
            <w:r w:rsidRPr="00BB5945">
              <w:rPr>
                <w:b/>
                <w:bCs/>
              </w:rPr>
              <w:t>Country</w:t>
            </w:r>
          </w:p>
        </w:tc>
        <w:tc>
          <w:tcPr>
            <w:tcW w:w="0" w:type="auto"/>
          </w:tcPr>
          <w:p w14:paraId="4B823613" w14:textId="6BC21EB6" w:rsidR="003E0652" w:rsidRPr="00BB5945" w:rsidRDefault="003E0652" w:rsidP="00CF31B5">
            <w:pPr>
              <w:pStyle w:val="Quote1"/>
              <w:spacing w:line="240" w:lineRule="auto"/>
              <w:ind w:left="0"/>
              <w:rPr>
                <w:b/>
                <w:bCs/>
              </w:rPr>
            </w:pPr>
            <w:r w:rsidRPr="00BB5945">
              <w:rPr>
                <w:b/>
                <w:bCs/>
              </w:rPr>
              <w:t>Activity</w:t>
            </w:r>
          </w:p>
        </w:tc>
      </w:tr>
      <w:tr w:rsidR="00BB5945" w14:paraId="02413FA7" w14:textId="77777777" w:rsidTr="00276A43">
        <w:tc>
          <w:tcPr>
            <w:tcW w:w="0" w:type="auto"/>
          </w:tcPr>
          <w:p w14:paraId="7CBBF427" w14:textId="1F959C43" w:rsidR="003E0652" w:rsidRPr="003E0652" w:rsidRDefault="003E0652" w:rsidP="00CF31B5">
            <w:pPr>
              <w:pStyle w:val="Quote1"/>
              <w:spacing w:line="240" w:lineRule="auto"/>
              <w:ind w:left="0"/>
            </w:pPr>
            <w:r w:rsidRPr="003E0652">
              <w:t>6A</w:t>
            </w:r>
          </w:p>
        </w:tc>
        <w:tc>
          <w:tcPr>
            <w:tcW w:w="0" w:type="auto"/>
          </w:tcPr>
          <w:p w14:paraId="51927B78" w14:textId="711C8315" w:rsidR="003E0652" w:rsidRPr="003E0652" w:rsidRDefault="003E0652" w:rsidP="00CF31B5">
            <w:pPr>
              <w:pStyle w:val="Quote1"/>
              <w:spacing w:line="240" w:lineRule="auto"/>
              <w:ind w:left="0"/>
            </w:pPr>
            <w:r w:rsidRPr="003E0652">
              <w:t>Russia</w:t>
            </w:r>
          </w:p>
        </w:tc>
        <w:tc>
          <w:tcPr>
            <w:tcW w:w="0" w:type="auto"/>
          </w:tcPr>
          <w:p w14:paraId="7C31F45C" w14:textId="489ED434" w:rsidR="003E0652" w:rsidRPr="0037603C" w:rsidRDefault="003E0652" w:rsidP="00CF31B5">
            <w:pPr>
              <w:pStyle w:val="Quote1"/>
              <w:spacing w:line="240" w:lineRule="auto"/>
              <w:ind w:left="312" w:hanging="312"/>
            </w:pPr>
            <w:r>
              <w:t>(a)</w:t>
            </w:r>
            <w:r w:rsidR="00080FE9">
              <w:t> </w:t>
            </w:r>
            <w:r w:rsidRPr="0037603C">
              <w:t>A person or entity that the Minister is satisfied is, or has been, engaging in an activity or performing a function that is of</w:t>
            </w:r>
            <w:r>
              <w:t xml:space="preserve"> </w:t>
            </w:r>
            <w:r w:rsidRPr="0037603C">
              <w:t>economic or strategic significance to Russia.</w:t>
            </w:r>
          </w:p>
          <w:p w14:paraId="23785C18" w14:textId="762EE6BE" w:rsidR="003E0652" w:rsidRPr="0037603C" w:rsidRDefault="003E0652" w:rsidP="00CF31B5">
            <w:pPr>
              <w:pStyle w:val="Quote1"/>
              <w:spacing w:line="240" w:lineRule="auto"/>
              <w:ind w:left="312" w:hanging="312"/>
            </w:pPr>
            <w:r w:rsidRPr="0037603C">
              <w:t>(b)</w:t>
            </w:r>
            <w:r w:rsidR="00080FE9">
              <w:t> </w:t>
            </w:r>
            <w:r w:rsidRPr="0037603C">
              <w:t>A current or former Minister or senior official of the Russian Government.</w:t>
            </w:r>
          </w:p>
          <w:p w14:paraId="7B979BCF" w14:textId="45FD15B1" w:rsidR="003E0652" w:rsidRDefault="003E0652" w:rsidP="00CF31B5">
            <w:pPr>
              <w:pStyle w:val="Quote1"/>
              <w:spacing w:line="240" w:lineRule="auto"/>
              <w:ind w:left="312" w:hanging="312"/>
            </w:pPr>
            <w:r w:rsidRPr="0037603C">
              <w:t>(c)</w:t>
            </w:r>
            <w:r w:rsidR="00080FE9">
              <w:t> </w:t>
            </w:r>
            <w:r w:rsidRPr="0037603C">
              <w:t>An immediate family member of a person mentioned in paragraph (a) or (b)</w:t>
            </w:r>
          </w:p>
        </w:tc>
      </w:tr>
    </w:tbl>
    <w:p w14:paraId="291DF4C2" w14:textId="418FB6D6" w:rsidR="005F7FA2" w:rsidRDefault="005F7FA2" w:rsidP="0075042C">
      <w:pPr>
        <w:pStyle w:val="ParaNumbering"/>
      </w:pPr>
      <w:r>
        <w:lastRenderedPageBreak/>
        <w:t xml:space="preserve">Item 6A was inserted into the table in </w:t>
      </w:r>
      <w:r w:rsidR="00023F20">
        <w:t>r</w:t>
      </w:r>
      <w:r>
        <w:t xml:space="preserve">eg 6 by the </w:t>
      </w:r>
      <w:r w:rsidR="0075042C" w:rsidRPr="0083283B">
        <w:rPr>
          <w:i/>
          <w:iCs/>
        </w:rPr>
        <w:t xml:space="preserve">Autonomous Sanctions Amendment (Russia) Regulations 2022 </w:t>
      </w:r>
      <w:r w:rsidR="0075042C" w:rsidRPr="0083283B">
        <w:t>(Cth)</w:t>
      </w:r>
      <w:r>
        <w:t>, which commenced on 25 February 2022 (shortly before the Minister’s decision in the present case was made).</w:t>
      </w:r>
    </w:p>
    <w:p w14:paraId="7B28E486" w14:textId="7630174B" w:rsidR="00B54411" w:rsidRPr="006370A9" w:rsidRDefault="00B54411" w:rsidP="0075042C">
      <w:pPr>
        <w:pStyle w:val="ParaNumbering"/>
      </w:pPr>
      <w:r w:rsidRPr="006370A9">
        <w:t xml:space="preserve">Where a person is declared </w:t>
      </w:r>
      <w:r w:rsidR="00B940A4" w:rsidRPr="006370A9">
        <w:t xml:space="preserve">for </w:t>
      </w:r>
      <w:r w:rsidR="00AD2348" w:rsidRPr="006370A9">
        <w:t xml:space="preserve">a </w:t>
      </w:r>
      <w:r w:rsidR="00B940A4" w:rsidRPr="006370A9">
        <w:t xml:space="preserve">travel ban </w:t>
      </w:r>
      <w:r w:rsidRPr="006370A9">
        <w:t xml:space="preserve">under </w:t>
      </w:r>
      <w:r w:rsidR="00023F20" w:rsidRPr="0083283B">
        <w:t>r</w:t>
      </w:r>
      <w:r w:rsidRPr="0083283B">
        <w:t>eg 6(b)</w:t>
      </w:r>
      <w:r w:rsidRPr="006370A9">
        <w:t xml:space="preserve">, provisions in the </w:t>
      </w:r>
      <w:r w:rsidRPr="00301F29">
        <w:rPr>
          <w:b/>
          <w:bCs/>
          <w:i/>
          <w:iCs/>
        </w:rPr>
        <w:t>Migration Regulations</w:t>
      </w:r>
      <w:r w:rsidRPr="0083283B">
        <w:rPr>
          <w:i/>
          <w:iCs/>
        </w:rPr>
        <w:t xml:space="preserve"> 1994</w:t>
      </w:r>
      <w:r w:rsidRPr="0083283B">
        <w:t xml:space="preserve"> (Cth)</w:t>
      </w:r>
      <w:r w:rsidRPr="006370A9">
        <w:t xml:space="preserve"> make that declaration a ground for refusal of a visa (</w:t>
      </w:r>
      <w:r w:rsidR="002C0205" w:rsidRPr="006370A9">
        <w:t>‘</w:t>
      </w:r>
      <w:r w:rsidRPr="006370A9">
        <w:t>PIC</w:t>
      </w:r>
      <w:r w:rsidR="002C0205" w:rsidRPr="006370A9">
        <w:t>’</w:t>
      </w:r>
      <w:r w:rsidRPr="006370A9">
        <w:t xml:space="preserve"> 4003 in Sch</w:t>
      </w:r>
      <w:r w:rsidR="0005448E">
        <w:t> </w:t>
      </w:r>
      <w:r w:rsidRPr="006370A9">
        <w:t>4) or for cancellation of an existing visa (</w:t>
      </w:r>
      <w:r w:rsidR="00655031" w:rsidRPr="0083283B">
        <w:t xml:space="preserve">reg </w:t>
      </w:r>
      <w:r w:rsidRPr="0083283B">
        <w:t>2.43(</w:t>
      </w:r>
      <w:proofErr w:type="gramStart"/>
      <w:r w:rsidRPr="0083283B">
        <w:t>1)(</w:t>
      </w:r>
      <w:proofErr w:type="gramEnd"/>
      <w:r w:rsidRPr="0083283B">
        <w:t>aa)(</w:t>
      </w:r>
      <w:proofErr w:type="spellStart"/>
      <w:r w:rsidRPr="0083283B">
        <w:t>i</w:t>
      </w:r>
      <w:proofErr w:type="spellEnd"/>
      <w:r w:rsidRPr="0083283B">
        <w:t>))</w:t>
      </w:r>
      <w:r w:rsidRPr="006370A9">
        <w:t>.</w:t>
      </w:r>
    </w:p>
    <w:p w14:paraId="6D145EC0" w14:textId="371DCD56" w:rsidR="001B7D72" w:rsidRDefault="001B7D72" w:rsidP="0075042C">
      <w:pPr>
        <w:pStyle w:val="ParaNumbering"/>
      </w:pPr>
      <w:r>
        <w:t xml:space="preserve">A designation under </w:t>
      </w:r>
      <w:r w:rsidRPr="0083283B">
        <w:t>reg 6(a)</w:t>
      </w:r>
      <w:r>
        <w:t xml:space="preserve"> and a declaration under </w:t>
      </w:r>
      <w:r w:rsidRPr="0083283B">
        <w:t>reg 6(b)</w:t>
      </w:r>
      <w:r>
        <w:t xml:space="preserve"> is effective for three years: </w:t>
      </w:r>
      <w:r w:rsidRPr="0083283B">
        <w:t>reg</w:t>
      </w:r>
      <w:r w:rsidR="0046285F">
        <w:t>s</w:t>
      </w:r>
      <w:r w:rsidR="003E73C7" w:rsidRPr="0083283B">
        <w:t> </w:t>
      </w:r>
      <w:r w:rsidRPr="0083283B">
        <w:t>9(1)</w:t>
      </w:r>
      <w:proofErr w:type="gramStart"/>
      <w:r w:rsidRPr="0083283B">
        <w:t>–(</w:t>
      </w:r>
      <w:proofErr w:type="gramEnd"/>
      <w:r w:rsidRPr="0083283B">
        <w:t>2)</w:t>
      </w:r>
      <w:r>
        <w:t>. The Minister may, by legislative instrument, declare that a designation or declaration continues to have effect for a further three years</w:t>
      </w:r>
      <w:r w:rsidR="00BF4B1D">
        <w:t xml:space="preserve">: </w:t>
      </w:r>
      <w:r w:rsidRPr="0083283B">
        <w:t>regs 9(1)(b)</w:t>
      </w:r>
      <w:r w:rsidR="00BF4B1D" w:rsidRPr="0083283B">
        <w:t>,</w:t>
      </w:r>
      <w:r w:rsidR="00EA405F">
        <w:t xml:space="preserve"> </w:t>
      </w:r>
      <w:r w:rsidRPr="0083283B">
        <w:t>(2)(b)</w:t>
      </w:r>
      <w:r w:rsidR="00BF4B1D" w:rsidRPr="0083283B">
        <w:t xml:space="preserve"> and (3)</w:t>
      </w:r>
      <w:r w:rsidR="00BF4B1D">
        <w:t>.</w:t>
      </w:r>
    </w:p>
    <w:p w14:paraId="6E925D3A" w14:textId="3FFB5CBE" w:rsidR="0011454E" w:rsidRDefault="008A246B" w:rsidP="0011454E">
      <w:pPr>
        <w:pStyle w:val="ParaNumbering"/>
      </w:pPr>
      <w:r>
        <w:t xml:space="preserve">Where a person or an entity is designated under </w:t>
      </w:r>
      <w:r w:rsidR="000A580F">
        <w:t>r</w:t>
      </w:r>
      <w:r>
        <w:t xml:space="preserve">eg 6(a), later </w:t>
      </w:r>
      <w:r w:rsidR="001D3BDA">
        <w:t xml:space="preserve">provisions of the Regulations </w:t>
      </w:r>
      <w:r w:rsidR="00086AF8">
        <w:t xml:space="preserve">dealing with prohibitions </w:t>
      </w:r>
      <w:r w:rsidR="001D3BDA">
        <w:t xml:space="preserve">become relevant. </w:t>
      </w:r>
      <w:r w:rsidR="00BF4B1D">
        <w:t xml:space="preserve">Part 3 of the Regulations contains provisions prohibiting certain conduct to ensure that sanctions imposed under the autonomous </w:t>
      </w:r>
      <w:proofErr w:type="gramStart"/>
      <w:r w:rsidR="00BF4B1D">
        <w:t>sanctions</w:t>
      </w:r>
      <w:proofErr w:type="gramEnd"/>
      <w:r w:rsidR="00BF4B1D">
        <w:t xml:space="preserve"> regime are effective. </w:t>
      </w:r>
      <w:r w:rsidR="001D3BDA">
        <w:t>Relevantly for present purposes,</w:t>
      </w:r>
      <w:r w:rsidR="001D3BDA" w:rsidRPr="0083283B">
        <w:t xml:space="preserve"> </w:t>
      </w:r>
      <w:r w:rsidR="00086AF8" w:rsidRPr="0083283B">
        <w:t>r</w:t>
      </w:r>
      <w:r w:rsidR="001D3BDA" w:rsidRPr="0083283B">
        <w:t>eg 14</w:t>
      </w:r>
      <w:r w:rsidR="001D3BDA">
        <w:t xml:space="preserve"> </w:t>
      </w:r>
      <w:r w:rsidR="0011454E">
        <w:t>prohibit</w:t>
      </w:r>
      <w:r w:rsidR="001D3BDA">
        <w:t>s</w:t>
      </w:r>
      <w:r w:rsidR="0011454E">
        <w:t xml:space="preserve"> dealing with designated persons or entities</w:t>
      </w:r>
      <w:r w:rsidR="001D3BDA">
        <w:t>, and provides</w:t>
      </w:r>
      <w:r w:rsidR="0011454E">
        <w:t>:</w:t>
      </w:r>
    </w:p>
    <w:p w14:paraId="000F7C73" w14:textId="77777777" w:rsidR="0011454E" w:rsidRDefault="0011454E" w:rsidP="0011454E">
      <w:pPr>
        <w:pStyle w:val="Quote1"/>
      </w:pPr>
      <w:r w:rsidRPr="005B12C7">
        <w:rPr>
          <w:b/>
          <w:bCs/>
        </w:rPr>
        <w:t>14 Prohibition of dealing with designated persons or entities</w:t>
      </w:r>
    </w:p>
    <w:p w14:paraId="6D25FD59" w14:textId="05E8114A" w:rsidR="0011454E" w:rsidRDefault="0011454E" w:rsidP="00143495">
      <w:pPr>
        <w:pStyle w:val="Quote2"/>
      </w:pPr>
      <w:r>
        <w:t>(1)</w:t>
      </w:r>
      <w:r w:rsidR="00080FE9">
        <w:t> </w:t>
      </w:r>
      <w:r>
        <w:t>A person contravenes this regulation if:</w:t>
      </w:r>
    </w:p>
    <w:p w14:paraId="65753AAA" w14:textId="24E81204" w:rsidR="0011454E" w:rsidRDefault="0011454E" w:rsidP="00062FD6">
      <w:pPr>
        <w:pStyle w:val="Quote3"/>
        <w:ind w:left="2472" w:hanging="312"/>
      </w:pPr>
      <w:r>
        <w:t>(a)</w:t>
      </w:r>
      <w:r w:rsidR="00080FE9">
        <w:t> </w:t>
      </w:r>
      <w:r>
        <w:t>the person directly or indirectly makes an asset available to, or for the benefit of, a designated person or entity; and</w:t>
      </w:r>
    </w:p>
    <w:p w14:paraId="5D5872A2" w14:textId="34099478" w:rsidR="0011454E" w:rsidRDefault="0011454E" w:rsidP="00062FD6">
      <w:pPr>
        <w:pStyle w:val="Quote3"/>
        <w:ind w:left="2472" w:hanging="312"/>
      </w:pPr>
      <w:r>
        <w:t>(b)</w:t>
      </w:r>
      <w:r w:rsidR="00080FE9">
        <w:t> </w:t>
      </w:r>
      <w:r>
        <w:t>the making available of the asset is not authorised by a permit granted under regulation 18.</w:t>
      </w:r>
    </w:p>
    <w:p w14:paraId="253299C1" w14:textId="640A7EE9" w:rsidR="0011454E" w:rsidRDefault="0011454E" w:rsidP="00062FD6">
      <w:pPr>
        <w:pStyle w:val="Quote2"/>
        <w:ind w:left="1922" w:hanging="482"/>
      </w:pPr>
      <w:r>
        <w:t>(1A)</w:t>
      </w:r>
      <w:r w:rsidR="00080FE9">
        <w:t> </w:t>
      </w:r>
      <w:r>
        <w:t>Strict liability applies to the circumstance that the making available of the asset is not in accordance with a permit under regulation 18.</w:t>
      </w:r>
    </w:p>
    <w:p w14:paraId="21413FFB" w14:textId="7BCA4E9A" w:rsidR="0011454E" w:rsidRDefault="0011454E" w:rsidP="00062FD6">
      <w:pPr>
        <w:pStyle w:val="Quote3"/>
        <w:ind w:left="2880" w:hanging="720"/>
      </w:pPr>
      <w:r>
        <w:t>Note 1:</w:t>
      </w:r>
      <w:r w:rsidR="00062FD6">
        <w:t> </w:t>
      </w:r>
      <w:r>
        <w:t xml:space="preserve">For strict liability, see section 6.1 of the </w:t>
      </w:r>
      <w:r w:rsidRPr="00276A43">
        <w:rPr>
          <w:i/>
          <w:iCs/>
        </w:rPr>
        <w:t>Criminal Code</w:t>
      </w:r>
      <w:r>
        <w:t>.</w:t>
      </w:r>
    </w:p>
    <w:p w14:paraId="5F4042DE" w14:textId="50368A47" w:rsidR="0011454E" w:rsidRDefault="0011454E" w:rsidP="00062FD6">
      <w:pPr>
        <w:pStyle w:val="Quote3"/>
        <w:ind w:left="2880" w:hanging="720"/>
      </w:pPr>
      <w:r>
        <w:t>Note 2:</w:t>
      </w:r>
      <w:r w:rsidR="00062FD6">
        <w:t> </w:t>
      </w:r>
      <w:r>
        <w:t>Strict liability is not imposed on an individual for any other element of an offence under section 16 of the Act that relates to a contravention of this regulation.</w:t>
      </w:r>
    </w:p>
    <w:p w14:paraId="3F5231D0" w14:textId="3F5F6BC6" w:rsidR="0011454E" w:rsidRDefault="0011454E" w:rsidP="00062FD6">
      <w:pPr>
        <w:pStyle w:val="Quote2"/>
        <w:ind w:left="1752" w:hanging="312"/>
      </w:pPr>
      <w:r>
        <w:t>(2)</w:t>
      </w:r>
      <w:r w:rsidR="00080FE9">
        <w:t> </w:t>
      </w:r>
      <w:r>
        <w:t xml:space="preserve">Section 15.1 of the </w:t>
      </w:r>
      <w:r w:rsidRPr="00276A43">
        <w:rPr>
          <w:i/>
          <w:iCs/>
        </w:rPr>
        <w:t>Criminal Code</w:t>
      </w:r>
      <w:r>
        <w:t xml:space="preserve"> applies to an offence under section 16 of the Act that relates to a contravention of this regulation.</w:t>
      </w:r>
    </w:p>
    <w:p w14:paraId="4F4DD95F" w14:textId="4D4E089E" w:rsidR="0011454E" w:rsidRDefault="0011454E" w:rsidP="000E2DA2">
      <w:pPr>
        <w:pStyle w:val="Quote3"/>
        <w:ind w:left="2897" w:hanging="737"/>
      </w:pPr>
      <w:r>
        <w:t>Note 1:</w:t>
      </w:r>
      <w:r w:rsidR="00062FD6">
        <w:t> </w:t>
      </w:r>
      <w:r>
        <w:t>This has the effect that the offence has extraterritorial operation.</w:t>
      </w:r>
    </w:p>
    <w:p w14:paraId="7898DF0F" w14:textId="0708BFCD" w:rsidR="0011454E" w:rsidRDefault="0011454E" w:rsidP="000E2DA2">
      <w:pPr>
        <w:pStyle w:val="Quote3"/>
        <w:ind w:left="2897" w:hanging="737"/>
      </w:pPr>
      <w:r>
        <w:t>Note 2:</w:t>
      </w:r>
      <w:r w:rsidR="00062FD6">
        <w:t> </w:t>
      </w:r>
      <w:r>
        <w:t>This regulation may be specified as a sanction law by the Minister under section 6 of the Act.</w:t>
      </w:r>
    </w:p>
    <w:p w14:paraId="1BB24294" w14:textId="56F12CF4" w:rsidR="0011454E" w:rsidRDefault="001D3BDA" w:rsidP="00A67C4D">
      <w:pPr>
        <w:pStyle w:val="ParaNumbering"/>
        <w:keepNext/>
        <w:keepLines/>
      </w:pPr>
      <w:r w:rsidRPr="0083283B">
        <w:lastRenderedPageBreak/>
        <w:t>Reg 15</w:t>
      </w:r>
      <w:r w:rsidR="006137BD">
        <w:t xml:space="preserve"> </w:t>
      </w:r>
      <w:r w:rsidR="0011454E">
        <w:t>prohibit</w:t>
      </w:r>
      <w:r>
        <w:t>s</w:t>
      </w:r>
      <w:r w:rsidR="0011454E">
        <w:t xml:space="preserve"> </w:t>
      </w:r>
      <w:r w:rsidR="00DE76B5">
        <w:t xml:space="preserve">using or </w:t>
      </w:r>
      <w:r w:rsidR="0011454E">
        <w:t>dealing with controlled assets</w:t>
      </w:r>
      <w:r w:rsidR="006137BD">
        <w:t xml:space="preserve"> and </w:t>
      </w:r>
      <w:r w:rsidR="002D3CF2">
        <w:t>provides</w:t>
      </w:r>
      <w:r w:rsidR="0011454E">
        <w:t>:</w:t>
      </w:r>
    </w:p>
    <w:p w14:paraId="20B0F29F" w14:textId="77777777" w:rsidR="0011454E" w:rsidRDefault="0011454E" w:rsidP="00A67C4D">
      <w:pPr>
        <w:pStyle w:val="Quote1"/>
        <w:keepNext/>
        <w:keepLines/>
      </w:pPr>
      <w:r w:rsidRPr="00112649">
        <w:rPr>
          <w:b/>
          <w:bCs/>
        </w:rPr>
        <w:t>15 Prohibition of dealing with controlled assets</w:t>
      </w:r>
    </w:p>
    <w:p w14:paraId="3F5882D9" w14:textId="0471F925" w:rsidR="0011454E" w:rsidRDefault="0011454E" w:rsidP="00A67C4D">
      <w:pPr>
        <w:pStyle w:val="Quote2"/>
        <w:keepNext/>
        <w:keepLines/>
      </w:pPr>
      <w:r>
        <w:t>(1)</w:t>
      </w:r>
      <w:r w:rsidR="00CC339A">
        <w:t> </w:t>
      </w:r>
      <w:r>
        <w:t>A person contravenes this regulation if:</w:t>
      </w:r>
    </w:p>
    <w:p w14:paraId="41A08471" w14:textId="474EC35E" w:rsidR="0011454E" w:rsidRDefault="0011454E" w:rsidP="00A67C4D">
      <w:pPr>
        <w:pStyle w:val="Quote3"/>
        <w:keepNext/>
        <w:keepLines/>
      </w:pPr>
      <w:r>
        <w:t>(a)</w:t>
      </w:r>
      <w:r w:rsidR="00CC339A">
        <w:t> </w:t>
      </w:r>
      <w:r>
        <w:t>the person holds a controlled asset; and</w:t>
      </w:r>
    </w:p>
    <w:p w14:paraId="4605B313" w14:textId="393F4AF5" w:rsidR="0011454E" w:rsidRDefault="0011454E" w:rsidP="00A67C4D">
      <w:pPr>
        <w:pStyle w:val="Quote3"/>
        <w:keepNext/>
        <w:keepLines/>
      </w:pPr>
      <w:r>
        <w:t>(b)</w:t>
      </w:r>
      <w:r w:rsidR="00CC339A">
        <w:t> </w:t>
      </w:r>
      <w:r>
        <w:t>the person:</w:t>
      </w:r>
    </w:p>
    <w:p w14:paraId="63B3B971" w14:textId="35D99060" w:rsidR="0011454E" w:rsidRDefault="0011454E" w:rsidP="00A67C4D">
      <w:pPr>
        <w:pStyle w:val="Quote4"/>
        <w:keepNext/>
        <w:keepLines/>
      </w:pPr>
      <w:r>
        <w:t>(</w:t>
      </w:r>
      <w:proofErr w:type="spellStart"/>
      <w:r>
        <w:t>i</w:t>
      </w:r>
      <w:proofErr w:type="spellEnd"/>
      <w:r>
        <w:t>)</w:t>
      </w:r>
      <w:r w:rsidR="00CC339A">
        <w:t> </w:t>
      </w:r>
      <w:r>
        <w:t>uses or deals with the asset; or</w:t>
      </w:r>
    </w:p>
    <w:p w14:paraId="00DE0037" w14:textId="5288F2C3" w:rsidR="0011454E" w:rsidRDefault="0011454E" w:rsidP="00A67C4D">
      <w:pPr>
        <w:pStyle w:val="Quote4"/>
        <w:keepNext/>
        <w:keepLines/>
      </w:pPr>
      <w:r>
        <w:t>(ii)</w:t>
      </w:r>
      <w:r w:rsidR="00CC339A">
        <w:t> </w:t>
      </w:r>
      <w:r>
        <w:t>allows the asset to be used or dealt with; or</w:t>
      </w:r>
    </w:p>
    <w:p w14:paraId="5FBB017D" w14:textId="7FEBBC55" w:rsidR="0011454E" w:rsidRDefault="0011454E" w:rsidP="00A67C4D">
      <w:pPr>
        <w:pStyle w:val="Quote4"/>
        <w:keepNext/>
        <w:keepLines/>
        <w:ind w:left="3192" w:hanging="312"/>
      </w:pPr>
      <w:r>
        <w:t>(iii)</w:t>
      </w:r>
      <w:r w:rsidR="00CC339A">
        <w:t> </w:t>
      </w:r>
      <w:r>
        <w:t>facilitates the use of the asset or dealing with the asset; and</w:t>
      </w:r>
    </w:p>
    <w:p w14:paraId="24350B81" w14:textId="085B0027" w:rsidR="0011454E" w:rsidRDefault="0011454E" w:rsidP="00A67C4D">
      <w:pPr>
        <w:pStyle w:val="Quote3"/>
        <w:keepNext/>
        <w:keepLines/>
        <w:ind w:left="2472" w:hanging="312"/>
      </w:pPr>
      <w:r>
        <w:t>(c)</w:t>
      </w:r>
      <w:r w:rsidR="00CC339A">
        <w:t> </w:t>
      </w:r>
      <w:r>
        <w:t>the use or dealing is not authorised by a permit granted under regulation 18.</w:t>
      </w:r>
    </w:p>
    <w:p w14:paraId="220712CE" w14:textId="555C0A99" w:rsidR="0011454E" w:rsidRDefault="0011454E" w:rsidP="00A67C4D">
      <w:pPr>
        <w:pStyle w:val="Quote2"/>
        <w:keepNext/>
        <w:keepLines/>
        <w:ind w:left="1922" w:hanging="482"/>
      </w:pPr>
      <w:r>
        <w:t>(1A)</w:t>
      </w:r>
      <w:r w:rsidR="00CC339A">
        <w:t> </w:t>
      </w:r>
      <w:r>
        <w:t>Strict liability applies to the circumstance that the use or dealing with the asset is not in accordance with a permit under regulation 18.</w:t>
      </w:r>
    </w:p>
    <w:p w14:paraId="0469327F" w14:textId="00C64410" w:rsidR="0011454E" w:rsidRDefault="0011454E" w:rsidP="00A67C4D">
      <w:pPr>
        <w:pStyle w:val="Quote3"/>
        <w:keepNext/>
        <w:keepLines/>
        <w:ind w:left="2880" w:hanging="720"/>
      </w:pPr>
      <w:r>
        <w:t>Note 1:</w:t>
      </w:r>
      <w:r w:rsidR="00CC339A">
        <w:t> </w:t>
      </w:r>
      <w:r>
        <w:t xml:space="preserve">For strict liability, see section 6.1 of the </w:t>
      </w:r>
      <w:r w:rsidRPr="00276A43">
        <w:rPr>
          <w:i/>
          <w:iCs/>
        </w:rPr>
        <w:t>Criminal Code</w:t>
      </w:r>
      <w:r>
        <w:t>.</w:t>
      </w:r>
    </w:p>
    <w:p w14:paraId="52C2D474" w14:textId="21D547D7" w:rsidR="0011454E" w:rsidRDefault="0011454E" w:rsidP="00A67C4D">
      <w:pPr>
        <w:pStyle w:val="Quote3"/>
        <w:keepNext/>
        <w:keepLines/>
        <w:ind w:left="2880" w:hanging="720"/>
      </w:pPr>
      <w:r>
        <w:t>Note 2:</w:t>
      </w:r>
      <w:r w:rsidR="00CC339A">
        <w:t> </w:t>
      </w:r>
      <w:r>
        <w:t>Strict liability is not imposed on an individual for any other element of an offence under section 16 of the Act that relates to a contravention of this regulation.</w:t>
      </w:r>
    </w:p>
    <w:p w14:paraId="175D4753" w14:textId="74ACD312" w:rsidR="0011454E" w:rsidRDefault="0011454E" w:rsidP="00A67C4D">
      <w:pPr>
        <w:pStyle w:val="Quote2"/>
        <w:keepNext/>
        <w:keepLines/>
        <w:ind w:left="1752" w:hanging="312"/>
      </w:pPr>
      <w:r>
        <w:t>(2)</w:t>
      </w:r>
      <w:r w:rsidR="00CC339A">
        <w:t> </w:t>
      </w:r>
      <w:r>
        <w:t xml:space="preserve">Section 15.1 of the </w:t>
      </w:r>
      <w:r w:rsidRPr="00276A43">
        <w:rPr>
          <w:i/>
          <w:iCs/>
        </w:rPr>
        <w:t>Criminal Code</w:t>
      </w:r>
      <w:r>
        <w:t xml:space="preserve"> applies to an offence under section 16 of the Act that relates to a contravention of this regulation.</w:t>
      </w:r>
    </w:p>
    <w:p w14:paraId="7086052E" w14:textId="0A1E66DA" w:rsidR="0011454E" w:rsidRDefault="0011454E" w:rsidP="00A67C4D">
      <w:pPr>
        <w:pStyle w:val="Quote3"/>
        <w:keepNext/>
        <w:keepLines/>
        <w:ind w:left="2897" w:hanging="737"/>
      </w:pPr>
      <w:r>
        <w:t>Note 1:</w:t>
      </w:r>
      <w:r w:rsidR="00CC339A">
        <w:t> </w:t>
      </w:r>
      <w:r>
        <w:t>This has the effect that the offence has extraterritorial operation.</w:t>
      </w:r>
    </w:p>
    <w:p w14:paraId="6081A13B" w14:textId="390BCF10" w:rsidR="0011454E" w:rsidRDefault="0011454E" w:rsidP="00A67C4D">
      <w:pPr>
        <w:pStyle w:val="Quote3"/>
        <w:keepNext/>
        <w:keepLines/>
        <w:ind w:left="2897" w:hanging="737"/>
      </w:pPr>
      <w:r>
        <w:t>Note 2:</w:t>
      </w:r>
      <w:r w:rsidR="00CC339A">
        <w:t> </w:t>
      </w:r>
      <w:r>
        <w:t>This regulation may be specified as a sanction law by the Minister under section 6 of the Act.</w:t>
      </w:r>
    </w:p>
    <w:p w14:paraId="23CCAFAB" w14:textId="77777777" w:rsidR="00655031" w:rsidRDefault="00655031" w:rsidP="00655031">
      <w:pPr>
        <w:pStyle w:val="ParaNumbering"/>
      </w:pPr>
      <w:r>
        <w:t xml:space="preserve">“Controlled asset” is defined in </w:t>
      </w:r>
      <w:r w:rsidRPr="0083283B">
        <w:t>reg 3</w:t>
      </w:r>
      <w:r>
        <w:t xml:space="preserve"> to mean an asset “owned or controlled by a designated person or entity”. “Asset” is defined broadly in </w:t>
      </w:r>
      <w:r w:rsidRPr="0083283B">
        <w:t>s 4 of the Act</w:t>
      </w:r>
      <w:r>
        <w:t xml:space="preserve"> as follows:</w:t>
      </w:r>
    </w:p>
    <w:p w14:paraId="7E7BF368" w14:textId="77777777" w:rsidR="00655031" w:rsidRDefault="00655031" w:rsidP="00655031">
      <w:pPr>
        <w:pStyle w:val="Quote1"/>
      </w:pPr>
      <w:r>
        <w:rPr>
          <w:b/>
          <w:bCs/>
          <w:i/>
          <w:iCs/>
        </w:rPr>
        <w:t>asset </w:t>
      </w:r>
      <w:r>
        <w:t>means:</w:t>
      </w:r>
    </w:p>
    <w:p w14:paraId="7435D723" w14:textId="2D1BB037" w:rsidR="00655031" w:rsidRDefault="009D78D8" w:rsidP="00E47256">
      <w:pPr>
        <w:pStyle w:val="Quote1"/>
        <w:ind w:left="1191" w:hanging="454"/>
      </w:pPr>
      <w:r>
        <w:t>   </w:t>
      </w:r>
      <w:r w:rsidR="00655031">
        <w:t>(a) an asset of any kind or property of any kind, whether tangible or intangible, movable or immovable, however acquired; and</w:t>
      </w:r>
    </w:p>
    <w:p w14:paraId="508B4B61" w14:textId="7FDD7BB0" w:rsidR="00655031" w:rsidRDefault="009D78D8" w:rsidP="00E47256">
      <w:pPr>
        <w:pStyle w:val="Quote1"/>
        <w:ind w:left="1191" w:hanging="454"/>
      </w:pPr>
      <w:r>
        <w:t>   </w:t>
      </w:r>
      <w:r w:rsidR="00655031">
        <w:t>(b) a legal document or instrument in any form (including electronic or digital) evidencing title to, or interest in, such an asset or such property.</w:t>
      </w:r>
    </w:p>
    <w:p w14:paraId="49272F81" w14:textId="235E7033" w:rsidR="004D38C2" w:rsidRDefault="00655031" w:rsidP="00A67C4D">
      <w:pPr>
        <w:pStyle w:val="Quote1"/>
        <w:ind w:left="1457" w:hanging="720"/>
      </w:pPr>
      <w:r>
        <w:t>Note:</w:t>
      </w:r>
      <w:r w:rsidR="00DD539D">
        <w:tab/>
      </w:r>
      <w:r>
        <w:t>Some examples of documents and instruments described in paragraph (b) are bank credits, </w:t>
      </w:r>
      <w:proofErr w:type="gramStart"/>
      <w:r>
        <w:t>travellers</w:t>
      </w:r>
      <w:proofErr w:type="gramEnd"/>
      <w:r>
        <w:t> cheques, bank cheques, money orders, shares, securities, bonds, debt instruments, drafts and letters of credit.</w:t>
      </w:r>
    </w:p>
    <w:p w14:paraId="2BB330D3" w14:textId="79031E07" w:rsidR="000D47A9" w:rsidRPr="006370A9" w:rsidRDefault="000D47A9" w:rsidP="0011454E">
      <w:pPr>
        <w:pStyle w:val="ParaNumbering"/>
      </w:pPr>
      <w:r w:rsidRPr="006370A9">
        <w:t xml:space="preserve">Regulations 14 and 15 are declared to be </w:t>
      </w:r>
      <w:r w:rsidR="00893BC4" w:rsidRPr="006370A9">
        <w:t>“</w:t>
      </w:r>
      <w:r w:rsidRPr="006370A9">
        <w:t>sa</w:t>
      </w:r>
      <w:r w:rsidR="001B362D" w:rsidRPr="006370A9">
        <w:t>n</w:t>
      </w:r>
      <w:r w:rsidRPr="006370A9">
        <w:t xml:space="preserve">ction laws” for the purposes of s 6 of the Act, by the </w:t>
      </w:r>
      <w:r w:rsidRPr="0083283B">
        <w:rPr>
          <w:i/>
          <w:iCs/>
        </w:rPr>
        <w:t xml:space="preserve">Autonomous Sanctions (Sanction Law) Declaration 2012 </w:t>
      </w:r>
      <w:r w:rsidR="001B362D" w:rsidRPr="0083283B">
        <w:t>(Ct</w:t>
      </w:r>
      <w:r w:rsidR="001B362D" w:rsidRPr="0079203B">
        <w:t>h</w:t>
      </w:r>
      <w:r w:rsidR="001B362D" w:rsidRPr="000927BA">
        <w:t>).</w:t>
      </w:r>
      <w:r w:rsidR="00340436">
        <w:t xml:space="preserve"> </w:t>
      </w:r>
      <w:r w:rsidR="00DD0AD0" w:rsidRPr="006370A9">
        <w:t>A</w:t>
      </w:r>
      <w:r w:rsidR="006B343E" w:rsidRPr="006370A9">
        <w:t xml:space="preserve"> </w:t>
      </w:r>
      <w:r w:rsidR="001B362D" w:rsidRPr="006370A9">
        <w:t xml:space="preserve">contravention of </w:t>
      </w:r>
      <w:r w:rsidR="006B343E" w:rsidRPr="006370A9">
        <w:t>r</w:t>
      </w:r>
      <w:r w:rsidR="001B362D" w:rsidRPr="006370A9">
        <w:t>egs</w:t>
      </w:r>
      <w:r w:rsidR="00AC5052">
        <w:t> </w:t>
      </w:r>
      <w:r w:rsidR="001B362D" w:rsidRPr="006370A9">
        <w:t>14 or 15 is (subject to proof of the relevant fault elements) an offence under s 16 of the Act</w:t>
      </w:r>
      <w:r w:rsidR="000C69E2" w:rsidRPr="006370A9">
        <w:t>.</w:t>
      </w:r>
    </w:p>
    <w:p w14:paraId="58F9076F" w14:textId="657717D6" w:rsidR="00EB7F85" w:rsidRDefault="00F070B9" w:rsidP="003E666E">
      <w:pPr>
        <w:pStyle w:val="ParaNumbering"/>
      </w:pPr>
      <w:r w:rsidRPr="00F070B9">
        <w:lastRenderedPageBreak/>
        <w:t>The effect of regs 14 and 15 can be mitigated by</w:t>
      </w:r>
      <w:r>
        <w:t xml:space="preserve"> </w:t>
      </w:r>
      <w:r w:rsidRPr="00F070B9">
        <w:t xml:space="preserve">the grant of a permit by the Minister under </w:t>
      </w:r>
      <w:r w:rsidRPr="0083283B">
        <w:t>reg 18</w:t>
      </w:r>
      <w:r w:rsidRPr="00F070B9">
        <w:t xml:space="preserve">. </w:t>
      </w:r>
      <w:r w:rsidR="003E666E">
        <w:t>Under reg 18, t</w:t>
      </w:r>
      <w:r w:rsidR="00EB7F85">
        <w:t>he Minister may, by their own initiative or on application by a person, grant a permit to a person authorising conduct that would otherwise contravene regs 14 and 15.</w:t>
      </w:r>
      <w:r w:rsidR="003E666E">
        <w:t xml:space="preserve"> </w:t>
      </w:r>
      <w:r w:rsidR="00EB7F85">
        <w:t>However, the Minister must not grant a permit unless they are satisfied it would be in the national interest to do so and they have considered any circumstance or matter required by Part</w:t>
      </w:r>
      <w:r w:rsidR="00A70F30">
        <w:t> </w:t>
      </w:r>
      <w:r w:rsidR="00EB7F85">
        <w:t>4 of the Regulations for a particular kind of permit</w:t>
      </w:r>
      <w:r w:rsidR="00E807EC">
        <w:t>:</w:t>
      </w:r>
      <w:r w:rsidR="00E807EC" w:rsidRPr="0083283B">
        <w:t xml:space="preserve"> </w:t>
      </w:r>
      <w:r w:rsidR="00EB7F85" w:rsidRPr="0083283B">
        <w:t>reg 18(3)</w:t>
      </w:r>
      <w:r w:rsidR="00E807EC" w:rsidRPr="00481413">
        <w:t>.</w:t>
      </w:r>
    </w:p>
    <w:p w14:paraId="46A8D9A6" w14:textId="0E451A3A" w:rsidR="0011454E" w:rsidRDefault="00B9721F" w:rsidP="0011454E">
      <w:pPr>
        <w:pStyle w:val="ParaNumbering"/>
      </w:pPr>
      <w:r>
        <w:t xml:space="preserve">A permit under </w:t>
      </w:r>
      <w:r w:rsidRPr="0083283B">
        <w:t>reg</w:t>
      </w:r>
      <w:r w:rsidR="00F070B9" w:rsidRPr="0083283B">
        <w:t xml:space="preserve"> 18(1)</w:t>
      </w:r>
      <w:r w:rsidR="00F070B9" w:rsidRPr="00F070B9">
        <w:t xml:space="preserve"> </w:t>
      </w:r>
      <w:r w:rsidR="00F0598D">
        <w:t>may authorise</w:t>
      </w:r>
      <w:r w:rsidR="00F070B9" w:rsidRPr="00F070B9">
        <w:t xml:space="preserve"> the making available of an asset that would otherwise contravene reg 14, or the use of</w:t>
      </w:r>
      <w:r w:rsidR="00426299">
        <w:t>,</w:t>
      </w:r>
      <w:r w:rsidR="00F070B9" w:rsidRPr="00F070B9">
        <w:t xml:space="preserve"> or </w:t>
      </w:r>
      <w:r w:rsidR="00426299">
        <w:t xml:space="preserve">a </w:t>
      </w:r>
      <w:r w:rsidR="00F070B9" w:rsidRPr="00F070B9">
        <w:t>dealing with</w:t>
      </w:r>
      <w:r w:rsidR="00426299">
        <w:t>,</w:t>
      </w:r>
      <w:r w:rsidR="00F070B9" w:rsidRPr="00F070B9">
        <w:t xml:space="preserve"> a controlled asset</w:t>
      </w:r>
      <w:r w:rsidR="00426299">
        <w:t>:</w:t>
      </w:r>
      <w:r w:rsidR="00426299" w:rsidRPr="0083283B">
        <w:t xml:space="preserve"> reg 18(1)</w:t>
      </w:r>
      <w:r w:rsidR="00F070B9" w:rsidRPr="0083283B">
        <w:t>(e)</w:t>
      </w:r>
      <w:r w:rsidR="00426299" w:rsidRPr="0083283B">
        <w:t xml:space="preserve"> and</w:t>
      </w:r>
      <w:r w:rsidR="00F070B9" w:rsidRPr="0083283B">
        <w:t xml:space="preserve"> (f)</w:t>
      </w:r>
      <w:r w:rsidR="00F070B9" w:rsidRPr="00F070B9">
        <w:t>.</w:t>
      </w:r>
      <w:r w:rsidR="00C84DB9">
        <w:t xml:space="preserve"> </w:t>
      </w:r>
      <w:r w:rsidR="00E807EC">
        <w:t xml:space="preserve">A permit may be granted subject to conditions: </w:t>
      </w:r>
      <w:r w:rsidR="00E807EC" w:rsidRPr="0083283B">
        <w:t>reg 18(4)</w:t>
      </w:r>
      <w:r w:rsidR="00E807EC" w:rsidRPr="00481413">
        <w:t>.</w:t>
      </w:r>
      <w:r w:rsidR="00E807EC">
        <w:t xml:space="preserve"> </w:t>
      </w:r>
      <w:r w:rsidR="00C84DB9">
        <w:t xml:space="preserve">We will return to the grant of permits </w:t>
      </w:r>
      <w:r w:rsidR="00A22F3D">
        <w:t>relevant to the appellant</w:t>
      </w:r>
      <w:r w:rsidR="00C84DB9">
        <w:t>.</w:t>
      </w:r>
    </w:p>
    <w:p w14:paraId="77F65E4C" w14:textId="039F274C" w:rsidR="0011454E" w:rsidRPr="00B2470C" w:rsidRDefault="00B87FA6" w:rsidP="00087CA8">
      <w:pPr>
        <w:pStyle w:val="Heading2"/>
      </w:pPr>
      <w:bookmarkStart w:id="30" w:name="_Ref193875040"/>
      <w:r>
        <w:t>Instruments of designation and declaration</w:t>
      </w:r>
      <w:bookmarkEnd w:id="30"/>
    </w:p>
    <w:p w14:paraId="418C7D00" w14:textId="5D681DCE" w:rsidR="0011454E" w:rsidRDefault="0011454E" w:rsidP="0011454E">
      <w:pPr>
        <w:pStyle w:val="ParaNumbering"/>
      </w:pPr>
      <w:r>
        <w:t>In June 2014, the Minister made an instrument under reg 6 of the Regulations</w:t>
      </w:r>
      <w:r w:rsidR="00606994">
        <w:t xml:space="preserve"> entitled the</w:t>
      </w:r>
      <w:r>
        <w:t xml:space="preserve"> </w:t>
      </w:r>
      <w:r w:rsidRPr="0083283B">
        <w:rPr>
          <w:i/>
          <w:iCs/>
        </w:rPr>
        <w:t>Autonomous Sanctions (Designated Persons and Entities and Declared Persons – Russia and Ukraine) List 2014</w:t>
      </w:r>
      <w:r w:rsidRPr="0083283B">
        <w:t xml:space="preserve"> (Cth)</w:t>
      </w:r>
      <w:r>
        <w:t xml:space="preserve"> (</w:t>
      </w:r>
      <w:r>
        <w:rPr>
          <w:b/>
          <w:bCs/>
        </w:rPr>
        <w:t>2014 Instrument</w:t>
      </w:r>
      <w:r>
        <w:t>).</w:t>
      </w:r>
    </w:p>
    <w:p w14:paraId="45A43859" w14:textId="1ED1E5C8" w:rsidR="0011454E" w:rsidRDefault="0011454E" w:rsidP="0011454E">
      <w:pPr>
        <w:pStyle w:val="ParaNumbering"/>
      </w:pPr>
      <w:r>
        <w:t xml:space="preserve">The 2014 Instrument </w:t>
      </w:r>
      <w:r w:rsidR="00C87113">
        <w:t xml:space="preserve">was </w:t>
      </w:r>
      <w:proofErr w:type="gramStart"/>
      <w:r w:rsidR="00C87113">
        <w:t>the means by which</w:t>
      </w:r>
      <w:proofErr w:type="gramEnd"/>
      <w:r>
        <w:t xml:space="preserve"> the Minister list</w:t>
      </w:r>
      <w:r w:rsidR="00C87113">
        <w:t>ed</w:t>
      </w:r>
      <w:r>
        <w:t xml:space="preserve"> “designated” persons and entities and “declared” persons from Russia and Ukraine under </w:t>
      </w:r>
      <w:r w:rsidR="00635E81">
        <w:t>reg</w:t>
      </w:r>
      <w:r w:rsidR="00C87113">
        <w:t>s</w:t>
      </w:r>
      <w:r>
        <w:t xml:space="preserve"> 6(a) and (b)</w:t>
      </w:r>
      <w:r w:rsidR="00635E81">
        <w:t xml:space="preserve"> of the Regulations</w:t>
      </w:r>
      <w:r>
        <w:t>.</w:t>
      </w:r>
    </w:p>
    <w:p w14:paraId="7A4BCD18" w14:textId="07A3FA04" w:rsidR="0011454E" w:rsidRDefault="0011454E" w:rsidP="0011454E">
      <w:pPr>
        <w:pStyle w:val="ParaNumbering"/>
      </w:pPr>
      <w:r>
        <w:t xml:space="preserve">In February 2022, the Minister made </w:t>
      </w:r>
      <w:r w:rsidR="00635E81">
        <w:t xml:space="preserve">the </w:t>
      </w:r>
      <w:r w:rsidRPr="0083283B">
        <w:rPr>
          <w:i/>
          <w:iCs/>
        </w:rPr>
        <w:t xml:space="preserve">Autonomous Sanctions (Designated Persons and Entities and Declared Persons – Ukraine) Amendment (No 4) Instrument 2022 </w:t>
      </w:r>
      <w:r w:rsidRPr="0083283B">
        <w:t>(Cth)</w:t>
      </w:r>
      <w:r w:rsidRPr="0066724E">
        <w:t xml:space="preserve"> </w:t>
      </w:r>
      <w:r>
        <w:t>(</w:t>
      </w:r>
      <w:r w:rsidRPr="00CB4CD7">
        <w:rPr>
          <w:b/>
          <w:bCs/>
        </w:rPr>
        <w:t>First</w:t>
      </w:r>
      <w:r>
        <w:t xml:space="preserve"> </w:t>
      </w:r>
      <w:r>
        <w:rPr>
          <w:b/>
          <w:bCs/>
        </w:rPr>
        <w:t>2022 Instrument</w:t>
      </w:r>
      <w:r>
        <w:t>).</w:t>
      </w:r>
    </w:p>
    <w:p w14:paraId="49081D29" w14:textId="7E8CE6DE" w:rsidR="0011454E" w:rsidRDefault="0011454E" w:rsidP="00AE5691">
      <w:pPr>
        <w:pStyle w:val="ParaNumbering"/>
        <w:keepNext/>
        <w:keepLines/>
      </w:pPr>
      <w:r>
        <w:t xml:space="preserve">The First 2022 Instrument inserted </w:t>
      </w:r>
      <w:r w:rsidR="00833903" w:rsidRPr="0083283B">
        <w:t>paragraph</w:t>
      </w:r>
      <w:r w:rsidRPr="0083283B">
        <w:t xml:space="preserve"> 3A into the 2014 Instrument</w:t>
      </w:r>
      <w:r>
        <w:t>:</w:t>
      </w:r>
    </w:p>
    <w:p w14:paraId="57538915" w14:textId="77777777" w:rsidR="0011454E" w:rsidRPr="004C3AE5" w:rsidRDefault="0011454E" w:rsidP="0011454E">
      <w:pPr>
        <w:pStyle w:val="Quote1"/>
        <w:rPr>
          <w:b/>
          <w:bCs/>
        </w:rPr>
      </w:pPr>
      <w:r w:rsidRPr="004C3AE5">
        <w:rPr>
          <w:b/>
          <w:bCs/>
        </w:rPr>
        <w:t>3A Designated persons and entities and declared persons—Russia</w:t>
      </w:r>
    </w:p>
    <w:p w14:paraId="3ABEC6A4" w14:textId="282BAF81" w:rsidR="0011454E" w:rsidRDefault="0011454E" w:rsidP="004C73E8">
      <w:pPr>
        <w:pStyle w:val="Quote2"/>
        <w:ind w:left="1752" w:hanging="312"/>
      </w:pPr>
      <w:r>
        <w:t>(1)</w:t>
      </w:r>
      <w:r w:rsidR="004C73E8">
        <w:t> </w:t>
      </w:r>
      <w:r>
        <w:t xml:space="preserve">For the purposes of paragraph 6(a) of the </w:t>
      </w:r>
      <w:r w:rsidRPr="00276A43">
        <w:rPr>
          <w:i/>
          <w:iCs/>
        </w:rPr>
        <w:t>Autonomous Sanctions Regulations 2011</w:t>
      </w:r>
      <w:r>
        <w:t xml:space="preserve">, each person or entity mentioned in an item of a table in Schedule 2 is designated as a </w:t>
      </w:r>
      <w:r w:rsidRPr="00276A43">
        <w:rPr>
          <w:b/>
          <w:bCs/>
          <w:i/>
          <w:iCs/>
        </w:rPr>
        <w:t>designated person or entity</w:t>
      </w:r>
      <w:r>
        <w:t xml:space="preserve"> for Russia.</w:t>
      </w:r>
    </w:p>
    <w:p w14:paraId="43D75D84" w14:textId="4B492902" w:rsidR="0011454E" w:rsidRDefault="0011454E" w:rsidP="004C73E8">
      <w:pPr>
        <w:pStyle w:val="Quote2"/>
        <w:ind w:left="1752" w:hanging="312"/>
      </w:pPr>
      <w:r>
        <w:t>(2)</w:t>
      </w:r>
      <w:r w:rsidR="004C73E8">
        <w:t> </w:t>
      </w:r>
      <w:r>
        <w:t xml:space="preserve">For the purposes of paragraph 6(b) of the </w:t>
      </w:r>
      <w:r w:rsidRPr="00276A43">
        <w:rPr>
          <w:i/>
          <w:iCs/>
        </w:rPr>
        <w:t>Autonomous Sanctions Regulations 2011</w:t>
      </w:r>
      <w:r>
        <w:t>, each person mentioned in an item of the table in Part 1 of Schedule 2 is declared for the purpose of preventing the person from travelling to, entering or remaining in Australia.</w:t>
      </w:r>
    </w:p>
    <w:p w14:paraId="382B65EC" w14:textId="7065E75C" w:rsidR="0011454E" w:rsidRDefault="0011454E" w:rsidP="0011454E">
      <w:pPr>
        <w:pStyle w:val="ParaNumbering"/>
      </w:pPr>
      <w:r>
        <w:t xml:space="preserve">The First 2022 Instrument included persons from Russia and Ukraine in the list of “designated” persons and entities and “declared” persons under </w:t>
      </w:r>
      <w:r w:rsidR="00635E81">
        <w:t>reg</w:t>
      </w:r>
      <w:r w:rsidR="006839E1">
        <w:t>s</w:t>
      </w:r>
      <w:r>
        <w:t xml:space="preserve"> 6(a) and 6(b) </w:t>
      </w:r>
      <w:r w:rsidR="00635E81">
        <w:t>of the Regulations</w:t>
      </w:r>
      <w:r>
        <w:t>.</w:t>
      </w:r>
    </w:p>
    <w:p w14:paraId="73F1E7D2" w14:textId="38BB2E84" w:rsidR="0011454E" w:rsidRDefault="0011454E" w:rsidP="006839E1">
      <w:pPr>
        <w:pStyle w:val="ParaNumbering"/>
      </w:pPr>
      <w:r>
        <w:lastRenderedPageBreak/>
        <w:t xml:space="preserve">In March 2022, the Minister made </w:t>
      </w:r>
      <w:r w:rsidR="00635E81">
        <w:t xml:space="preserve">the </w:t>
      </w:r>
      <w:r w:rsidRPr="0083283B">
        <w:rPr>
          <w:i/>
          <w:iCs/>
        </w:rPr>
        <w:t xml:space="preserve">Autonomous Sanctions (Designated Persons and Entities and Declared Persons </w:t>
      </w:r>
      <w:r w:rsidR="006839E1">
        <w:rPr>
          <w:i/>
          <w:iCs/>
        </w:rPr>
        <w:t>–</w:t>
      </w:r>
      <w:r w:rsidRPr="006839E1">
        <w:rPr>
          <w:i/>
          <w:iCs/>
        </w:rPr>
        <w:t xml:space="preserve"> Russia and Ukraine) Amendment (No 7) Instrument 2022 </w:t>
      </w:r>
      <w:r w:rsidRPr="0083283B">
        <w:t xml:space="preserve">(Cth) </w:t>
      </w:r>
      <w:r>
        <w:t>(</w:t>
      </w:r>
      <w:r w:rsidRPr="006839E1">
        <w:rPr>
          <w:b/>
          <w:bCs/>
        </w:rPr>
        <w:t>Second 2022 Instrument</w:t>
      </w:r>
      <w:r>
        <w:t>).</w:t>
      </w:r>
    </w:p>
    <w:p w14:paraId="2257625F" w14:textId="529C3729" w:rsidR="0011454E" w:rsidRDefault="0011454E" w:rsidP="0011454E">
      <w:pPr>
        <w:pStyle w:val="ParaNumbering"/>
      </w:pPr>
      <w:r>
        <w:t xml:space="preserve">The Second 2022 Instrument named </w:t>
      </w:r>
      <w:r w:rsidR="00C87113">
        <w:t xml:space="preserve">two </w:t>
      </w:r>
      <w:r>
        <w:t>more persons from Russia and Ukraine</w:t>
      </w:r>
      <w:r w:rsidR="00F434BB">
        <w:t xml:space="preserve"> </w:t>
      </w:r>
      <w:r>
        <w:t xml:space="preserve">in the list of “designated” persons and entities and “declared” persons under </w:t>
      </w:r>
      <w:r w:rsidR="00635E81">
        <w:t>regs</w:t>
      </w:r>
      <w:r>
        <w:t xml:space="preserve"> 6(a) and (b) of the Regulations</w:t>
      </w:r>
      <w:r w:rsidR="00E46FDD">
        <w:t>, one of whom was the appellant</w:t>
      </w:r>
      <w:r w:rsidR="00B971CE">
        <w:t>: see item 63 of Sch 1</w:t>
      </w:r>
      <w:r>
        <w:t>.</w:t>
      </w:r>
    </w:p>
    <w:p w14:paraId="0D658C63" w14:textId="7AC1E8F4" w:rsidR="0011454E" w:rsidRDefault="0011454E" w:rsidP="0011454E">
      <w:pPr>
        <w:pStyle w:val="ParaNumbering"/>
      </w:pPr>
      <w:r>
        <w:t>This enlivened regs 14 and 15 which prohibited a</w:t>
      </w:r>
      <w:r w:rsidRPr="00560DB9">
        <w:t xml:space="preserve"> person from dealing with the appellant or his controlled assets</w:t>
      </w:r>
      <w:r>
        <w:t xml:space="preserve"> and made it an offence under s 16 of the Act for the appellant or his bodies corporate to engage in conduct that contravenes a sanction law.</w:t>
      </w:r>
    </w:p>
    <w:p w14:paraId="1DF277A3" w14:textId="14328960" w:rsidR="003276C4" w:rsidRPr="003276C4" w:rsidRDefault="003276C4" w:rsidP="00087CA8">
      <w:pPr>
        <w:pStyle w:val="Heading2"/>
      </w:pPr>
      <w:bookmarkStart w:id="31" w:name="_Ref193875041"/>
      <w:r>
        <w:t>P</w:t>
      </w:r>
      <w:r w:rsidR="00B87FA6">
        <w:t>ermits</w:t>
      </w:r>
      <w:bookmarkEnd w:id="31"/>
    </w:p>
    <w:p w14:paraId="79E45BD6" w14:textId="0C0BEB01" w:rsidR="003276C4" w:rsidRDefault="00EB7F85" w:rsidP="003276C4">
      <w:pPr>
        <w:pStyle w:val="ParaNumbering"/>
      </w:pPr>
      <w:r>
        <w:t>As mentioned above, t</w:t>
      </w:r>
      <w:r w:rsidR="003276C4">
        <w:t xml:space="preserve">he effect of </w:t>
      </w:r>
      <w:r>
        <w:t>r</w:t>
      </w:r>
      <w:r w:rsidR="003276C4">
        <w:t xml:space="preserve">egs 14 and 15 can be mitigated by the grant of a permit by the Minister under </w:t>
      </w:r>
      <w:r w:rsidR="000F29C9">
        <w:t>r</w:t>
      </w:r>
      <w:r w:rsidR="003276C4">
        <w:t>eg 18.</w:t>
      </w:r>
    </w:p>
    <w:p w14:paraId="7DF211A4" w14:textId="77E5215B" w:rsidR="00B2470C" w:rsidRDefault="00B2470C" w:rsidP="00B2470C">
      <w:pPr>
        <w:pStyle w:val="ParaNumbering"/>
      </w:pPr>
      <w:r>
        <w:t xml:space="preserve">On 7 November 2022, the Minister issued Permit SAN-2022-00079 which authorised making assets available to persons or entities designated under the Regulations, and the use of, or dealing with </w:t>
      </w:r>
      <w:r w:rsidR="00953E4E">
        <w:t>“</w:t>
      </w:r>
      <w:r>
        <w:t>controlled assets</w:t>
      </w:r>
      <w:r w:rsidR="00953E4E">
        <w:t>”</w:t>
      </w:r>
      <w:r>
        <w:t>, where doing so is associated with the provision of legal and ancillary services.</w:t>
      </w:r>
    </w:p>
    <w:p w14:paraId="5F0D60B3" w14:textId="6704C66D" w:rsidR="002A3023" w:rsidRDefault="002A3023" w:rsidP="002A3023">
      <w:pPr>
        <w:pStyle w:val="ParaNumbering"/>
        <w:tabs>
          <w:tab w:val="clear" w:pos="720"/>
        </w:tabs>
      </w:pPr>
      <w:r>
        <w:t xml:space="preserve">In January 2023, the appellant filed </w:t>
      </w:r>
      <w:r w:rsidR="00115894">
        <w:t xml:space="preserve">the </w:t>
      </w:r>
      <w:r>
        <w:t>originating application and concise statement challenging the Minister’s decision and claiming the Regulations under which the instruments were made were invalid.</w:t>
      </w:r>
    </w:p>
    <w:p w14:paraId="09CC4EA7" w14:textId="701048F2" w:rsidR="00B2470C" w:rsidRPr="00560DB9" w:rsidRDefault="00B2470C" w:rsidP="00AE5691">
      <w:pPr>
        <w:pStyle w:val="ParaNumbering"/>
      </w:pPr>
      <w:r>
        <w:t>On 30 October 2024, the Minister revoked Permit SAN-2022-00079 and issued Permit SAN-2024-00138 which authorised making assets available to persons or entities designated under the Regulations, and the use of, or dealing with controlled assets, in connection with legal services, settlement of legal proceedings, and payment of legal costs</w:t>
      </w:r>
      <w:r w:rsidR="00AE5691">
        <w:t>.</w:t>
      </w:r>
    </w:p>
    <w:p w14:paraId="42E3AC91" w14:textId="192D1AFA" w:rsidR="00AC0D15" w:rsidRDefault="00B87FA6" w:rsidP="00B87FA6">
      <w:pPr>
        <w:pStyle w:val="Heading1"/>
      </w:pPr>
      <w:bookmarkStart w:id="32" w:name="_Ref193875042"/>
      <w:r>
        <w:t>C</w:t>
      </w:r>
      <w:r w:rsidR="00C0162E">
        <w:t>ommon ground</w:t>
      </w:r>
      <w:bookmarkEnd w:id="32"/>
    </w:p>
    <w:p w14:paraId="21142B94" w14:textId="3F21CA1B" w:rsidR="005A580B" w:rsidRPr="006370A9" w:rsidRDefault="00D17E18" w:rsidP="007442DE">
      <w:pPr>
        <w:pStyle w:val="ParaNumbering"/>
        <w:tabs>
          <w:tab w:val="clear" w:pos="720"/>
        </w:tabs>
      </w:pPr>
      <w:r w:rsidRPr="006370A9">
        <w:t xml:space="preserve">It was </w:t>
      </w:r>
      <w:r w:rsidR="000870F8" w:rsidRPr="006370A9">
        <w:t>common ground</w:t>
      </w:r>
      <w:r w:rsidRPr="006370A9">
        <w:t xml:space="preserve"> </w:t>
      </w:r>
      <w:r w:rsidR="00CB01CD" w:rsidRPr="006370A9">
        <w:t xml:space="preserve">between the parties </w:t>
      </w:r>
      <w:r w:rsidRPr="006370A9">
        <w:t>that</w:t>
      </w:r>
      <w:r w:rsidR="007442DE" w:rsidRPr="006370A9">
        <w:t xml:space="preserve"> </w:t>
      </w:r>
      <w:r w:rsidRPr="006370A9">
        <w:t xml:space="preserve">the practical effect of </w:t>
      </w:r>
      <w:r w:rsidR="00E478B9" w:rsidRPr="006370A9">
        <w:t xml:space="preserve">a </w:t>
      </w:r>
      <w:r w:rsidRPr="006370A9">
        <w:t xml:space="preserve">“designation” is </w:t>
      </w:r>
      <w:r w:rsidR="009D695B" w:rsidRPr="006370A9">
        <w:t xml:space="preserve">to impose </w:t>
      </w:r>
      <w:r w:rsidR="00D8029B" w:rsidRPr="006370A9">
        <w:t xml:space="preserve">serious restrictions on a designated person. The appellant </w:t>
      </w:r>
      <w:r w:rsidR="00AC14D7" w:rsidRPr="006370A9">
        <w:t xml:space="preserve">submitted that the practical effect of a designation is </w:t>
      </w:r>
      <w:r w:rsidRPr="006370A9">
        <w:t xml:space="preserve">that, under </w:t>
      </w:r>
      <w:r w:rsidR="002E16E3" w:rsidRPr="006370A9">
        <w:t>r</w:t>
      </w:r>
      <w:r w:rsidRPr="006370A9">
        <w:t xml:space="preserve">egs 14 and 15, </w:t>
      </w:r>
      <w:r w:rsidR="00072D86" w:rsidRPr="006370A9">
        <w:t>an Australian lawyer commits an offence if they advise or represent the designated person or entity</w:t>
      </w:r>
      <w:r w:rsidR="00D737ED" w:rsidRPr="006370A9">
        <w:t xml:space="preserve"> unless the Minister grants a permit under </w:t>
      </w:r>
      <w:r w:rsidR="002E16E3" w:rsidRPr="006370A9">
        <w:t>r</w:t>
      </w:r>
      <w:r w:rsidR="00D737ED" w:rsidRPr="006370A9">
        <w:t xml:space="preserve">eg 18. </w:t>
      </w:r>
      <w:r w:rsidR="006C2C79" w:rsidRPr="006370A9">
        <w:t xml:space="preserve">The respondent submitted that the restrictions are not as </w:t>
      </w:r>
      <w:r w:rsidR="00355EF3" w:rsidRPr="006370A9">
        <w:t>“</w:t>
      </w:r>
      <w:r w:rsidR="006C2C79" w:rsidRPr="006370A9">
        <w:t>swingeing</w:t>
      </w:r>
      <w:r w:rsidR="00355EF3" w:rsidRPr="006370A9">
        <w:t>”</w:t>
      </w:r>
      <w:r w:rsidR="006C2C79" w:rsidRPr="006370A9">
        <w:t xml:space="preserve"> as the appellant suggests.</w:t>
      </w:r>
    </w:p>
    <w:p w14:paraId="227BE995" w14:textId="63D27C0F" w:rsidR="00E478B9" w:rsidRDefault="006C2C79" w:rsidP="007442DE">
      <w:pPr>
        <w:pStyle w:val="ParaNumbering"/>
        <w:tabs>
          <w:tab w:val="clear" w:pos="720"/>
        </w:tabs>
      </w:pPr>
      <w:r>
        <w:lastRenderedPageBreak/>
        <w:t>It is</w:t>
      </w:r>
      <w:r w:rsidR="00EE0E7D">
        <w:t xml:space="preserve"> clear</w:t>
      </w:r>
      <w:r>
        <w:t xml:space="preserve">, however, </w:t>
      </w:r>
      <w:r w:rsidR="00355EF3">
        <w:t xml:space="preserve">that a </w:t>
      </w:r>
      <w:r w:rsidR="00777AB4">
        <w:t xml:space="preserve">designated person </w:t>
      </w:r>
      <w:r w:rsidR="00F00E14">
        <w:t xml:space="preserve">or entity </w:t>
      </w:r>
      <w:r w:rsidR="00777AB4">
        <w:t>is preven</w:t>
      </w:r>
      <w:r w:rsidR="008D0F0F">
        <w:t>t</w:t>
      </w:r>
      <w:r w:rsidR="00777AB4">
        <w:t xml:space="preserve">ed from remunerating an Australian lawyer </w:t>
      </w:r>
      <w:r w:rsidR="00F00E14">
        <w:t xml:space="preserve">from </w:t>
      </w:r>
      <w:r w:rsidR="00453F73">
        <w:t xml:space="preserve">“controlled assets” (being </w:t>
      </w:r>
      <w:r w:rsidR="00F00E14">
        <w:t>assets owned or controlled by the designated person or entity</w:t>
      </w:r>
      <w:r w:rsidR="00453F73">
        <w:t>)</w:t>
      </w:r>
      <w:r w:rsidR="00F00E14">
        <w:t xml:space="preserve"> </w:t>
      </w:r>
      <w:r w:rsidR="00777AB4">
        <w:t xml:space="preserve">and, therefore, the practical effect </w:t>
      </w:r>
      <w:r w:rsidR="00A61B09">
        <w:t xml:space="preserve">of designation </w:t>
      </w:r>
      <w:r w:rsidR="00777AB4">
        <w:t>would be that a designated person</w:t>
      </w:r>
      <w:r w:rsidR="00F00E14">
        <w:t xml:space="preserve"> or entity</w:t>
      </w:r>
      <w:r w:rsidR="00777AB4">
        <w:t xml:space="preserve"> </w:t>
      </w:r>
      <w:r w:rsidR="004819F1">
        <w:t xml:space="preserve">would be unlikely to be able </w:t>
      </w:r>
      <w:r w:rsidR="00777AB4">
        <w:t xml:space="preserve">to </w:t>
      </w:r>
      <w:r w:rsidR="008D0F0F">
        <w:t xml:space="preserve">retain an Australian lawyer to advise or represent </w:t>
      </w:r>
      <w:r w:rsidR="004513AE">
        <w:t>them</w:t>
      </w:r>
      <w:r w:rsidR="008D0F0F">
        <w:t xml:space="preserve"> unless the Minister grant</w:t>
      </w:r>
      <w:r w:rsidR="004819F1">
        <w:t>ed</w:t>
      </w:r>
      <w:r w:rsidR="008D0F0F">
        <w:t xml:space="preserve"> a permit under reg 18. </w:t>
      </w:r>
      <w:r w:rsidR="00896081">
        <w:t>Furthermore</w:t>
      </w:r>
      <w:r w:rsidR="002554EC">
        <w:t xml:space="preserve">, </w:t>
      </w:r>
      <w:r w:rsidR="000A45BD">
        <w:t xml:space="preserve">an Australian lawyer </w:t>
      </w:r>
      <w:r w:rsidR="004819F1">
        <w:t xml:space="preserve">would </w:t>
      </w:r>
      <w:r w:rsidR="000A45BD">
        <w:t>commit an offence under reg</w:t>
      </w:r>
      <w:r w:rsidR="00896081">
        <w:t> </w:t>
      </w:r>
      <w:r w:rsidR="00BE0E34">
        <w:t>14</w:t>
      </w:r>
      <w:r w:rsidR="001055C6">
        <w:t xml:space="preserve"> if any “asset”</w:t>
      </w:r>
      <w:r w:rsidR="00DD2A0B">
        <w:t xml:space="preserve"> (which includes intellectual property) </w:t>
      </w:r>
      <w:r w:rsidR="004819F1">
        <w:t>wa</w:t>
      </w:r>
      <w:r w:rsidR="00DD2A0B">
        <w:t>s made available to or for the benefit of the designated person</w:t>
      </w:r>
      <w:r w:rsidR="006760C9">
        <w:t xml:space="preserve"> or entity who was the lawyer’s client.</w:t>
      </w:r>
    </w:p>
    <w:p w14:paraId="2A659C60" w14:textId="2C3D9DDD" w:rsidR="00775D68" w:rsidRDefault="007442DE" w:rsidP="00292989">
      <w:pPr>
        <w:pStyle w:val="ParaNumbering"/>
      </w:pPr>
      <w:r>
        <w:t xml:space="preserve">It was also common ground that </w:t>
      </w:r>
      <w:r w:rsidR="00C36B32">
        <w:t xml:space="preserve">the practical effect of </w:t>
      </w:r>
      <w:r w:rsidR="00E478B9">
        <w:t xml:space="preserve">a </w:t>
      </w:r>
      <w:r w:rsidR="00C36B32">
        <w:t xml:space="preserve">“declaration” is that a </w:t>
      </w:r>
      <w:proofErr w:type="gramStart"/>
      <w:r w:rsidR="00C36B32">
        <w:t>Commonwealth Minister</w:t>
      </w:r>
      <w:proofErr w:type="gramEnd"/>
      <w:r w:rsidR="00C36B32">
        <w:t xml:space="preserve"> or delegate either would or could refuse </w:t>
      </w:r>
      <w:r w:rsidR="00E4610E">
        <w:t xml:space="preserve">the </w:t>
      </w:r>
      <w:r w:rsidR="002B4149">
        <w:t xml:space="preserve">declared </w:t>
      </w:r>
      <w:r w:rsidR="00E4610E">
        <w:t>person a visa to enter Australia</w:t>
      </w:r>
      <w:r w:rsidR="00037372">
        <w:t>.</w:t>
      </w:r>
    </w:p>
    <w:p w14:paraId="249A410E" w14:textId="52DE0039" w:rsidR="00021228" w:rsidRDefault="00F861CF" w:rsidP="00292989">
      <w:pPr>
        <w:pStyle w:val="ParaNumbering"/>
      </w:pPr>
      <w:r>
        <w:t>Finally</w:t>
      </w:r>
      <w:r w:rsidR="00037372">
        <w:t xml:space="preserve">, it was not in dispute that </w:t>
      </w:r>
      <w:r w:rsidR="000870F8">
        <w:t xml:space="preserve">regs 14 and 15 are invalid to the extent that they impinge on the entrenched jurisdiction </w:t>
      </w:r>
      <w:r w:rsidR="009835F4">
        <w:t>under</w:t>
      </w:r>
      <w:r w:rsidR="000870F8">
        <w:t xml:space="preserve"> s 75(v) of the </w:t>
      </w:r>
      <w:r w:rsidR="000870F8" w:rsidRPr="00C20FF2">
        <w:rPr>
          <w:i/>
          <w:iCs/>
        </w:rPr>
        <w:t>Constitution</w:t>
      </w:r>
      <w:r w:rsidR="000870F8">
        <w:t xml:space="preserve">. </w:t>
      </w:r>
      <w:r w:rsidR="00021228">
        <w:t xml:space="preserve">More accurately, the empowering provision, s 10(1) of the Act, cannot empower regulations that would have that effect. </w:t>
      </w:r>
      <w:r w:rsidR="009D75EE">
        <w:t>The question</w:t>
      </w:r>
      <w:r w:rsidR="00AD3399">
        <w:t xml:space="preserve"> is</w:t>
      </w:r>
      <w:r w:rsidR="009D75EE">
        <w:t xml:space="preserve"> therefore whether regs 14 and 15 can be read down so as</w:t>
      </w:r>
      <w:r w:rsidR="00B240E3">
        <w:t xml:space="preserve"> not to have applications that would subvert the exercise of jurisdiction under </w:t>
      </w:r>
      <w:r w:rsidR="00B240E3" w:rsidRPr="0083283B">
        <w:t xml:space="preserve">s 75(v) of the </w:t>
      </w:r>
      <w:r w:rsidR="00B240E3" w:rsidRPr="00C20FF2">
        <w:rPr>
          <w:i/>
          <w:iCs/>
        </w:rPr>
        <w:t>Constitution</w:t>
      </w:r>
      <w:r w:rsidR="008666C8">
        <w:t xml:space="preserve"> </w:t>
      </w:r>
      <w:r w:rsidR="008666C8" w:rsidRPr="00FB1D74">
        <w:t xml:space="preserve">or </w:t>
      </w:r>
      <w:r w:rsidR="008666C8" w:rsidRPr="0083283B">
        <w:t>s 39</w:t>
      </w:r>
      <w:proofErr w:type="gramStart"/>
      <w:r w:rsidR="008666C8" w:rsidRPr="0083283B">
        <w:t>B(</w:t>
      </w:r>
      <w:proofErr w:type="gramEnd"/>
      <w:r w:rsidR="008666C8" w:rsidRPr="0083283B">
        <w:t xml:space="preserve">1) of the </w:t>
      </w:r>
      <w:r w:rsidR="008666C8" w:rsidRPr="0083283B">
        <w:rPr>
          <w:b/>
          <w:bCs/>
          <w:i/>
          <w:iCs/>
        </w:rPr>
        <w:t>Judiciary Act</w:t>
      </w:r>
      <w:r w:rsidR="008666C8" w:rsidRPr="0083283B">
        <w:rPr>
          <w:i/>
          <w:iCs/>
        </w:rPr>
        <w:t xml:space="preserve"> 1903</w:t>
      </w:r>
      <w:r w:rsidR="008666C8" w:rsidRPr="0083283B">
        <w:t xml:space="preserve"> (Cth)</w:t>
      </w:r>
      <w:r w:rsidR="003257C2">
        <w:t>.</w:t>
      </w:r>
    </w:p>
    <w:p w14:paraId="6223A9D6" w14:textId="339DF84D" w:rsidR="000870F8" w:rsidRDefault="00811ED9" w:rsidP="00E106E9">
      <w:pPr>
        <w:pStyle w:val="ParaNumbering"/>
        <w:tabs>
          <w:tab w:val="clear" w:pos="720"/>
        </w:tabs>
      </w:pPr>
      <w:r>
        <w:t>Section</w:t>
      </w:r>
      <w:r w:rsidR="00E261B9">
        <w:t xml:space="preserve"> 75 of the </w:t>
      </w:r>
      <w:r w:rsidR="00E261B9" w:rsidRPr="00C20FF2">
        <w:rPr>
          <w:i/>
          <w:iCs/>
        </w:rPr>
        <w:t>Constitution</w:t>
      </w:r>
      <w:r>
        <w:t>, which it is convenient to set out</w:t>
      </w:r>
      <w:r w:rsidR="00E261B9">
        <w:t xml:space="preserve"> in full</w:t>
      </w:r>
      <w:r>
        <w:t>,</w:t>
      </w:r>
      <w:r w:rsidR="002115D0">
        <w:t xml:space="preserve"> provides</w:t>
      </w:r>
      <w:r w:rsidR="00E261B9">
        <w:t>:</w:t>
      </w:r>
    </w:p>
    <w:p w14:paraId="633FB998" w14:textId="77777777" w:rsidR="00CD4841" w:rsidRPr="00CD4841" w:rsidRDefault="00CD4841" w:rsidP="00CD4841">
      <w:pPr>
        <w:pStyle w:val="Quote1"/>
        <w:rPr>
          <w:b/>
          <w:bCs/>
        </w:rPr>
      </w:pPr>
      <w:r w:rsidRPr="00CD4841">
        <w:rPr>
          <w:b/>
          <w:bCs/>
        </w:rPr>
        <w:t>75. Original jurisdiction of High Court.</w:t>
      </w:r>
    </w:p>
    <w:p w14:paraId="1EBFE412" w14:textId="77777777" w:rsidR="00CD4841" w:rsidRDefault="00CD4841" w:rsidP="00CD4841">
      <w:pPr>
        <w:pStyle w:val="Quote2"/>
      </w:pPr>
      <w:r>
        <w:t>In all matters—</w:t>
      </w:r>
    </w:p>
    <w:p w14:paraId="429D56F0" w14:textId="346EF6D0" w:rsidR="00CD4841" w:rsidRDefault="0087667C" w:rsidP="009F664E">
      <w:pPr>
        <w:pStyle w:val="Quote2"/>
        <w:ind w:left="1922" w:hanging="482"/>
      </w:pPr>
      <w:r>
        <w:t>  </w:t>
      </w:r>
      <w:r w:rsidR="00CD4841">
        <w:t>(</w:t>
      </w:r>
      <w:proofErr w:type="spellStart"/>
      <w:r w:rsidR="00CD4841">
        <w:t>i</w:t>
      </w:r>
      <w:proofErr w:type="spellEnd"/>
      <w:r w:rsidR="00CD4841">
        <w:t>.)</w:t>
      </w:r>
      <w:r w:rsidR="009F664E">
        <w:t>  </w:t>
      </w:r>
      <w:r w:rsidR="00CD4841">
        <w:t>Arising under any treaty:</w:t>
      </w:r>
    </w:p>
    <w:p w14:paraId="291D0B35" w14:textId="50007156" w:rsidR="00CD4841" w:rsidRDefault="0087667C" w:rsidP="009F664E">
      <w:pPr>
        <w:pStyle w:val="Quote2"/>
        <w:ind w:left="1922" w:hanging="482"/>
      </w:pPr>
      <w:r>
        <w:t>  </w:t>
      </w:r>
      <w:r w:rsidR="00CD4841">
        <w:t>(</w:t>
      </w:r>
      <w:proofErr w:type="gramStart"/>
      <w:r w:rsidR="00CD4841">
        <w:t>ii</w:t>
      </w:r>
      <w:proofErr w:type="gramEnd"/>
      <w:r w:rsidR="00CD4841">
        <w:t>.)</w:t>
      </w:r>
      <w:r w:rsidR="009F664E">
        <w:t> </w:t>
      </w:r>
      <w:r w:rsidR="00CD4841">
        <w:t>Affecting consuls or other representatives of other countries:</w:t>
      </w:r>
    </w:p>
    <w:p w14:paraId="5A43B7CF" w14:textId="1C10F853" w:rsidR="00CD4841" w:rsidRDefault="0087667C" w:rsidP="009F664E">
      <w:pPr>
        <w:pStyle w:val="Quote2"/>
        <w:ind w:left="1922" w:hanging="482"/>
      </w:pPr>
      <w:r>
        <w:t> </w:t>
      </w:r>
      <w:r w:rsidR="00CD4841">
        <w:t>(</w:t>
      </w:r>
      <w:proofErr w:type="gramStart"/>
      <w:r w:rsidR="00CD4841">
        <w:t>iii</w:t>
      </w:r>
      <w:proofErr w:type="gramEnd"/>
      <w:r w:rsidR="00CD4841">
        <w:t>.)</w:t>
      </w:r>
      <w:r w:rsidR="009F664E">
        <w:t> </w:t>
      </w:r>
      <w:r w:rsidR="00CD4841">
        <w:t>In which the Commonwealth, or a person suing or being sued on behalf of the Commonwealth, is a party:</w:t>
      </w:r>
    </w:p>
    <w:p w14:paraId="72EF6BF1" w14:textId="2B970DB6" w:rsidR="00CD4841" w:rsidRDefault="0087667C" w:rsidP="009F664E">
      <w:pPr>
        <w:pStyle w:val="Quote2"/>
        <w:ind w:left="1922" w:hanging="482"/>
      </w:pPr>
      <w:r>
        <w:t> </w:t>
      </w:r>
      <w:r w:rsidR="00CD4841">
        <w:t>(</w:t>
      </w:r>
      <w:proofErr w:type="gramStart"/>
      <w:r w:rsidR="00CD4841">
        <w:t>iv</w:t>
      </w:r>
      <w:proofErr w:type="gramEnd"/>
      <w:r w:rsidR="00CD4841">
        <w:t>.)</w:t>
      </w:r>
      <w:r w:rsidR="009F664E">
        <w:t> </w:t>
      </w:r>
      <w:r w:rsidR="00CD4841">
        <w:t>Between States, or between residents of different States, or between a</w:t>
      </w:r>
      <w:r>
        <w:t xml:space="preserve"> </w:t>
      </w:r>
      <w:r w:rsidR="00CD4841">
        <w:t>State and a resident of another State:</w:t>
      </w:r>
    </w:p>
    <w:p w14:paraId="660D0465" w14:textId="32F04EC4" w:rsidR="00CD4841" w:rsidRDefault="0087667C" w:rsidP="009F664E">
      <w:pPr>
        <w:pStyle w:val="Quote2"/>
        <w:ind w:left="1922" w:hanging="482"/>
      </w:pPr>
      <w:r>
        <w:t>  </w:t>
      </w:r>
      <w:r w:rsidR="00CD4841">
        <w:t>(v.)</w:t>
      </w:r>
      <w:r w:rsidR="009F664E">
        <w:t> </w:t>
      </w:r>
      <w:r w:rsidR="00CD4841">
        <w:t>In which a writ of Mandamus or prohibition or an injunction is sought against an officer of the Commonwealth:</w:t>
      </w:r>
    </w:p>
    <w:p w14:paraId="4ED172CC" w14:textId="0C8D2F83" w:rsidR="00E261B9" w:rsidRDefault="00CD4841" w:rsidP="00CD4841">
      <w:pPr>
        <w:pStyle w:val="Quote2"/>
      </w:pPr>
      <w:r>
        <w:t>the High Court shall have original jurisdiction.</w:t>
      </w:r>
    </w:p>
    <w:p w14:paraId="55FCC48F" w14:textId="6F3C4F14" w:rsidR="000870F8" w:rsidRDefault="00A50BC5" w:rsidP="00A67C4D">
      <w:pPr>
        <w:pStyle w:val="Heading1"/>
        <w:keepLines/>
      </w:pPr>
      <w:bookmarkStart w:id="33" w:name="_Ref193875043"/>
      <w:r>
        <w:lastRenderedPageBreak/>
        <w:t>THE REASONS OF THE PRIMARY JUDGE</w:t>
      </w:r>
      <w:bookmarkEnd w:id="33"/>
    </w:p>
    <w:p w14:paraId="5B5BDE7B" w14:textId="20B1F0F6" w:rsidR="00E106E9" w:rsidRDefault="004F6240" w:rsidP="00A67C4D">
      <w:pPr>
        <w:pStyle w:val="ParaNumbering"/>
        <w:keepNext/>
        <w:keepLines/>
        <w:tabs>
          <w:tab w:val="clear" w:pos="720"/>
        </w:tabs>
      </w:pPr>
      <w:r>
        <w:t>T</w:t>
      </w:r>
      <w:r w:rsidR="004F70FF">
        <w:t xml:space="preserve">he appellant </w:t>
      </w:r>
      <w:r w:rsidR="00B718EB">
        <w:t xml:space="preserve">challenged </w:t>
      </w:r>
      <w:r w:rsidR="006D2F55">
        <w:t>the validity of the designating instrum</w:t>
      </w:r>
      <w:r w:rsidR="00DF2162">
        <w:t>e</w:t>
      </w:r>
      <w:r w:rsidR="006D2F55">
        <w:t>nt</w:t>
      </w:r>
      <w:r w:rsidR="00DF2162" w:rsidRPr="00D31CE8">
        <w:t>s</w:t>
      </w:r>
      <w:r w:rsidR="006D2F55">
        <w:t xml:space="preserve"> </w:t>
      </w:r>
      <w:r w:rsidR="00D31CE8">
        <w:t xml:space="preserve">made by the Minister </w:t>
      </w:r>
      <w:r w:rsidR="006D2F55">
        <w:t xml:space="preserve">by challenging </w:t>
      </w:r>
      <w:r w:rsidR="000F4A75">
        <w:t xml:space="preserve">the Regulations under which they were made. The appellant </w:t>
      </w:r>
      <w:r w:rsidR="00E84B4F">
        <w:t>challenged</w:t>
      </w:r>
      <w:r w:rsidR="00D837D1">
        <w:t xml:space="preserve"> the </w:t>
      </w:r>
      <w:r w:rsidR="00CB2986">
        <w:t xml:space="preserve">validity of the </w:t>
      </w:r>
      <w:r w:rsidR="00D837D1">
        <w:t xml:space="preserve">Regulations </w:t>
      </w:r>
      <w:r w:rsidR="00B17746">
        <w:t>on the grounds that</w:t>
      </w:r>
      <w:r w:rsidR="00D837D1">
        <w:t xml:space="preserve"> </w:t>
      </w:r>
      <w:r w:rsidR="00DF2162">
        <w:t>regs</w:t>
      </w:r>
      <w:r w:rsidR="00496323">
        <w:t xml:space="preserve"> 14 and 15</w:t>
      </w:r>
      <w:r w:rsidR="00E106E9">
        <w:t>:</w:t>
      </w:r>
    </w:p>
    <w:p w14:paraId="4204CD5B" w14:textId="79641C2E" w:rsidR="001B7616" w:rsidRDefault="00623B50" w:rsidP="00A67C4D">
      <w:pPr>
        <w:pStyle w:val="ListNo1alt"/>
        <w:keepNext/>
        <w:keepLines/>
        <w:numPr>
          <w:ilvl w:val="0"/>
          <w:numId w:val="29"/>
        </w:numPr>
      </w:pPr>
      <w:r>
        <w:t xml:space="preserve">are </w:t>
      </w:r>
      <w:r w:rsidR="00C30BFE">
        <w:t>i</w:t>
      </w:r>
      <w:r w:rsidR="001B7616">
        <w:t>nconsisten</w:t>
      </w:r>
      <w:r>
        <w:t>t</w:t>
      </w:r>
      <w:r w:rsidR="001B7616">
        <w:t xml:space="preserve"> with the principles </w:t>
      </w:r>
      <w:r w:rsidR="006D2F55">
        <w:t>entrenched</w:t>
      </w:r>
      <w:r w:rsidR="001B7616">
        <w:t xml:space="preserve"> in Ch</w:t>
      </w:r>
      <w:r w:rsidR="00C95C41">
        <w:t xml:space="preserve"> II</w:t>
      </w:r>
      <w:r w:rsidR="001B7616">
        <w:t xml:space="preserve">I of the </w:t>
      </w:r>
      <w:proofErr w:type="gramStart"/>
      <w:r w:rsidR="001B7616" w:rsidRPr="00C20FF2">
        <w:rPr>
          <w:i/>
          <w:iCs/>
        </w:rPr>
        <w:t>Constitution</w:t>
      </w:r>
      <w:r w:rsidR="001B7616">
        <w:t>;</w:t>
      </w:r>
      <w:proofErr w:type="gramEnd"/>
    </w:p>
    <w:p w14:paraId="6CC636FC" w14:textId="61DBAC54" w:rsidR="00C30BFE" w:rsidRDefault="00C30BFE" w:rsidP="0048144F">
      <w:pPr>
        <w:pStyle w:val="ListNo1alt"/>
        <w:keepNext/>
        <w:keepLines/>
        <w:numPr>
          <w:ilvl w:val="0"/>
          <w:numId w:val="29"/>
        </w:numPr>
      </w:pPr>
      <w:r>
        <w:t>infringe the implied freedom of political communication; and</w:t>
      </w:r>
    </w:p>
    <w:p w14:paraId="0D5CDA6C" w14:textId="6D65BF7C" w:rsidR="00FC6AD0" w:rsidRDefault="00623B50" w:rsidP="0048144F">
      <w:pPr>
        <w:pStyle w:val="ListNo1alt"/>
        <w:keepNext/>
        <w:keepLines/>
        <w:numPr>
          <w:ilvl w:val="0"/>
          <w:numId w:val="29"/>
        </w:numPr>
      </w:pPr>
      <w:r>
        <w:t xml:space="preserve">are </w:t>
      </w:r>
      <w:r w:rsidR="00C30BFE">
        <w:t>inconsisten</w:t>
      </w:r>
      <w:r>
        <w:t>t</w:t>
      </w:r>
      <w:r w:rsidR="00C30BFE">
        <w:t xml:space="preserve"> with </w:t>
      </w:r>
      <w:r w:rsidR="00FC6AD0">
        <w:t>fundamental huma</w:t>
      </w:r>
      <w:r w:rsidR="00195D60">
        <w:t>n</w:t>
      </w:r>
      <w:r w:rsidR="00FC6AD0">
        <w:t xml:space="preserve"> rights.</w:t>
      </w:r>
    </w:p>
    <w:p w14:paraId="7CFB98E1" w14:textId="0FDA78A9" w:rsidR="004466D5" w:rsidRDefault="00FC6AD0" w:rsidP="004853CD">
      <w:pPr>
        <w:pStyle w:val="ParaNumbering"/>
        <w:tabs>
          <w:tab w:val="clear" w:pos="720"/>
        </w:tabs>
      </w:pPr>
      <w:r>
        <w:t xml:space="preserve">The </w:t>
      </w:r>
      <w:r w:rsidR="00276F58">
        <w:t>second and third grounds are not relevant to this appeal.</w:t>
      </w:r>
    </w:p>
    <w:p w14:paraId="545EF816" w14:textId="305255E5" w:rsidR="00122EA8" w:rsidRPr="00B82A6B" w:rsidRDefault="00122EA8" w:rsidP="00087CA8">
      <w:pPr>
        <w:pStyle w:val="Heading2"/>
      </w:pPr>
      <w:bookmarkStart w:id="34" w:name="_Ref193875044"/>
      <w:r w:rsidRPr="00B82A6B">
        <w:t>“Reading down”</w:t>
      </w:r>
      <w:bookmarkEnd w:id="34"/>
    </w:p>
    <w:p w14:paraId="17A0CC0F" w14:textId="19E0EFAD" w:rsidR="00DD48B5" w:rsidRDefault="00CA2029" w:rsidP="003D0410">
      <w:pPr>
        <w:pStyle w:val="ParaNumbering"/>
        <w:tabs>
          <w:tab w:val="clear" w:pos="720"/>
        </w:tabs>
      </w:pPr>
      <w:r>
        <w:t xml:space="preserve">As already noted, it was common ground that regs 14 and 15 </w:t>
      </w:r>
      <w:r w:rsidR="00305995">
        <w:t xml:space="preserve">could not apply according to their terms because </w:t>
      </w:r>
      <w:r>
        <w:t xml:space="preserve">they </w:t>
      </w:r>
      <w:r w:rsidR="00D35791">
        <w:t xml:space="preserve">would </w:t>
      </w:r>
      <w:r>
        <w:t xml:space="preserve">impinge on the entrenched jurisdiction </w:t>
      </w:r>
      <w:r w:rsidR="009835F4">
        <w:t>under</w:t>
      </w:r>
      <w:r>
        <w:t xml:space="preserve"> s 75(v) of the </w:t>
      </w:r>
      <w:r w:rsidRPr="00C20FF2">
        <w:rPr>
          <w:i/>
          <w:iCs/>
        </w:rPr>
        <w:t>Constitution</w:t>
      </w:r>
      <w:r>
        <w:t xml:space="preserve">. </w:t>
      </w:r>
      <w:r w:rsidR="007812AD">
        <w:t xml:space="preserve">The Minister’s position, </w:t>
      </w:r>
      <w:r w:rsidR="003B6421">
        <w:t>which was</w:t>
      </w:r>
      <w:r w:rsidR="00DD48B5">
        <w:t xml:space="preserve"> </w:t>
      </w:r>
      <w:r w:rsidR="007812AD">
        <w:t>accepted by the primary judge</w:t>
      </w:r>
      <w:r w:rsidR="003B3E2C">
        <w:t xml:space="preserve"> at </w:t>
      </w:r>
      <w:r w:rsidR="004853CD">
        <w:t xml:space="preserve">J </w:t>
      </w:r>
      <w:r w:rsidR="00DD48B5">
        <w:t>[51], was</w:t>
      </w:r>
      <w:r w:rsidR="00674E00">
        <w:t xml:space="preserve"> that</w:t>
      </w:r>
      <w:r w:rsidR="00811367">
        <w:t>:</w:t>
      </w:r>
    </w:p>
    <w:p w14:paraId="217A38EF" w14:textId="5F176A05" w:rsidR="00DD48B5" w:rsidRDefault="00FB1D74" w:rsidP="00811367">
      <w:pPr>
        <w:pStyle w:val="Quote1"/>
      </w:pPr>
      <w:r w:rsidRPr="00FB1D74">
        <w:t>regs 14 and 15 could not apply according to their terms to actions taken for the purpose of challenging the validity of decisions or actions under the Act pursuant to s 75(v) or s 39</w:t>
      </w:r>
      <w:proofErr w:type="gramStart"/>
      <w:r w:rsidRPr="00FB1D74">
        <w:t>B(</w:t>
      </w:r>
      <w:proofErr w:type="gramEnd"/>
      <w:r w:rsidRPr="00FB1D74">
        <w:t>1) of the Judiciary Act. (“Purpose” was used here in an objective sense, to describe the end served by the actions referred to rather than the subjective intentions of the people involved.) There would be an obvious and compelling vice in the Regulations if they did operate in this way. The decision to designate a person or entity would effectively insulate itself against legal challenge.</w:t>
      </w:r>
    </w:p>
    <w:p w14:paraId="09B77337" w14:textId="29BB7BDA" w:rsidR="00ED6EED" w:rsidRDefault="00F9213D" w:rsidP="00B94738">
      <w:pPr>
        <w:pStyle w:val="ParaNumbering"/>
        <w:tabs>
          <w:tab w:val="clear" w:pos="720"/>
        </w:tabs>
      </w:pPr>
      <w:r>
        <w:t>The issue</w:t>
      </w:r>
      <w:r w:rsidR="00707CFF">
        <w:t xml:space="preserve"> joined between the parties, as noted </w:t>
      </w:r>
      <w:r w:rsidR="0044042D">
        <w:t>by the primary judge</w:t>
      </w:r>
      <w:r w:rsidR="003B3E2C">
        <w:t xml:space="preserve"> at</w:t>
      </w:r>
      <w:r w:rsidR="007455B5">
        <w:t xml:space="preserve"> </w:t>
      </w:r>
      <w:r w:rsidR="0044042D">
        <w:t xml:space="preserve">J [52], was the Minister’s submission that the relevant expressions in </w:t>
      </w:r>
      <w:r w:rsidR="001D255F">
        <w:t>r</w:t>
      </w:r>
      <w:r w:rsidR="0044042D">
        <w:t xml:space="preserve">egs 14 and 15 (“deal with”, “make available” and “use”) could, and therefore should, be read as excluding actions taken for the </w:t>
      </w:r>
      <w:r w:rsidR="0044042D" w:rsidRPr="00FB1D74">
        <w:t xml:space="preserve">purpose of challenging the validity of decisions or actions under the Act pursuant to s 75(v) </w:t>
      </w:r>
      <w:r w:rsidR="00D761B8">
        <w:t xml:space="preserve">of the </w:t>
      </w:r>
      <w:r w:rsidR="00D761B8" w:rsidRPr="00C20FF2">
        <w:rPr>
          <w:i/>
          <w:iCs/>
        </w:rPr>
        <w:t>Constitution</w:t>
      </w:r>
      <w:r w:rsidR="00D761B8">
        <w:t xml:space="preserve"> </w:t>
      </w:r>
      <w:r w:rsidR="0044042D" w:rsidRPr="00FB1D74">
        <w:t xml:space="preserve">or s 39B(1) of the </w:t>
      </w:r>
      <w:r w:rsidR="0044042D" w:rsidRPr="002F3B16">
        <w:t>Judiciary Act</w:t>
      </w:r>
      <w:r w:rsidR="0044042D">
        <w:t xml:space="preserve">. </w:t>
      </w:r>
      <w:r w:rsidR="00425A64">
        <w:t>The appellant submitted that such an exercise in reading down was not permissible.</w:t>
      </w:r>
    </w:p>
    <w:p w14:paraId="400C22C7" w14:textId="188B1850" w:rsidR="007A147D" w:rsidRDefault="00C425CE" w:rsidP="00C373A6">
      <w:pPr>
        <w:pStyle w:val="ParaNumbering"/>
        <w:tabs>
          <w:tab w:val="clear" w:pos="720"/>
        </w:tabs>
      </w:pPr>
      <w:r>
        <w:t xml:space="preserve">As the analysis was to be undertaken at the level of the </w:t>
      </w:r>
      <w:r w:rsidR="00D67B7D">
        <w:t>R</w:t>
      </w:r>
      <w:r>
        <w:t>egulations, t</w:t>
      </w:r>
      <w:r w:rsidR="00C119A4">
        <w:t xml:space="preserve">he primary judge </w:t>
      </w:r>
      <w:r w:rsidR="00C853DE">
        <w:t>proceeded by formulating a “composite hypothetical question”</w:t>
      </w:r>
      <w:r w:rsidR="00824B5C">
        <w:t>, that is</w:t>
      </w:r>
      <w:r w:rsidR="00C853DE">
        <w:t xml:space="preserve">: whether, if the </w:t>
      </w:r>
      <w:r w:rsidR="00D67B7D">
        <w:t>R</w:t>
      </w:r>
      <w:r w:rsidR="00C853DE">
        <w:t>egulation</w:t>
      </w:r>
      <w:r w:rsidR="003B7E98">
        <w:t>s</w:t>
      </w:r>
      <w:r w:rsidR="00C853DE">
        <w:t xml:space="preserve"> had been enacted as primary legislation, they would have been compliant with the re</w:t>
      </w:r>
      <w:r w:rsidR="003B55B6">
        <w:t>levant constitutional limitation</w:t>
      </w:r>
      <w:r w:rsidR="008605D4">
        <w:t xml:space="preserve">: </w:t>
      </w:r>
      <w:r w:rsidR="003B55B6">
        <w:t>J [55].</w:t>
      </w:r>
      <w:r w:rsidR="00601429">
        <w:t xml:space="preserve"> </w:t>
      </w:r>
      <w:r w:rsidR="00363C3A">
        <w:t>T</w:t>
      </w:r>
      <w:r w:rsidR="008F69C7" w:rsidRPr="00A75184">
        <w:t xml:space="preserve">he Minister </w:t>
      </w:r>
      <w:r w:rsidR="00363C3A">
        <w:t xml:space="preserve">had </w:t>
      </w:r>
      <w:r w:rsidR="008F69C7" w:rsidRPr="00A75184">
        <w:t>invoked</w:t>
      </w:r>
      <w:r w:rsidR="007E027F" w:rsidRPr="00A75184">
        <w:t xml:space="preserve"> </w:t>
      </w:r>
      <w:r w:rsidR="007E027F" w:rsidRPr="0083283B">
        <w:t xml:space="preserve">s 15A of the </w:t>
      </w:r>
      <w:r w:rsidR="007E027F" w:rsidRPr="0083283B">
        <w:rPr>
          <w:b/>
          <w:bCs/>
          <w:i/>
          <w:iCs/>
        </w:rPr>
        <w:t>Acts Interpretation Act</w:t>
      </w:r>
      <w:r w:rsidR="00027FFA" w:rsidRPr="0083283B">
        <w:rPr>
          <w:i/>
          <w:iCs/>
        </w:rPr>
        <w:t xml:space="preserve"> 1901 </w:t>
      </w:r>
      <w:r w:rsidR="00027FFA" w:rsidRPr="0083283B">
        <w:t>(Cth)</w:t>
      </w:r>
      <w:r w:rsidR="00AD20D4" w:rsidRPr="00A75184">
        <w:t xml:space="preserve">, which </w:t>
      </w:r>
      <w:r w:rsidR="007E027F" w:rsidRPr="00A75184">
        <w:t xml:space="preserve">is made applicable to subordinate legislation by </w:t>
      </w:r>
      <w:r w:rsidR="007E027F" w:rsidRPr="0083283B">
        <w:t>s 13(1)</w:t>
      </w:r>
      <w:r w:rsidR="00310A71" w:rsidRPr="0083283B">
        <w:t xml:space="preserve"> of the </w:t>
      </w:r>
      <w:r w:rsidR="00310A71" w:rsidRPr="0083283B">
        <w:rPr>
          <w:b/>
          <w:bCs/>
          <w:i/>
          <w:iCs/>
        </w:rPr>
        <w:t>Legislation Act</w:t>
      </w:r>
      <w:r w:rsidR="00027FFA" w:rsidRPr="0083283B">
        <w:rPr>
          <w:i/>
          <w:iCs/>
        </w:rPr>
        <w:t xml:space="preserve"> 2003 </w:t>
      </w:r>
      <w:r w:rsidR="00027FFA" w:rsidRPr="0083283B">
        <w:t>(Cth)</w:t>
      </w:r>
      <w:r w:rsidR="002C33FC" w:rsidRPr="00A75184">
        <w:t xml:space="preserve">. </w:t>
      </w:r>
      <w:r w:rsidR="002C33FC" w:rsidRPr="0083283B">
        <w:t>Section</w:t>
      </w:r>
      <w:r w:rsidR="00310A71" w:rsidRPr="0083283B">
        <w:t xml:space="preserve"> 13(</w:t>
      </w:r>
      <w:r w:rsidR="007A147D" w:rsidRPr="0083283B">
        <w:t>2</w:t>
      </w:r>
      <w:r w:rsidR="00310A71" w:rsidRPr="0083283B">
        <w:t>)</w:t>
      </w:r>
      <w:r w:rsidR="007A147D" w:rsidRPr="0083283B">
        <w:t xml:space="preserve"> </w:t>
      </w:r>
      <w:r w:rsidR="00F33D0F" w:rsidRPr="0083283B">
        <w:t>of the Legislation Act</w:t>
      </w:r>
      <w:r w:rsidR="00F33D0F">
        <w:t xml:space="preserve"> </w:t>
      </w:r>
      <w:r w:rsidR="007A147D" w:rsidRPr="00A75184">
        <w:t>substantially reproduces, as a rule of construction for all legislative instruments, the terms of s 15A.</w:t>
      </w:r>
    </w:p>
    <w:p w14:paraId="4919E184" w14:textId="2E7DD18B" w:rsidR="009C4BC1" w:rsidRDefault="00D67B7D" w:rsidP="00F33D0F">
      <w:pPr>
        <w:pStyle w:val="ParaNumbering"/>
        <w:keepNext/>
        <w:keepLines/>
        <w:tabs>
          <w:tab w:val="clear" w:pos="720"/>
        </w:tabs>
      </w:pPr>
      <w:r>
        <w:lastRenderedPageBreak/>
        <w:t>Section</w:t>
      </w:r>
      <w:r w:rsidR="005561DC">
        <w:t xml:space="preserve"> 15A of the Acts Interpretation Act</w:t>
      </w:r>
      <w:r>
        <w:t xml:space="preserve"> </w:t>
      </w:r>
      <w:r w:rsidR="009C4BC1">
        <w:t>provides:</w:t>
      </w:r>
    </w:p>
    <w:p w14:paraId="00ED6CCF" w14:textId="4B539C79" w:rsidR="009C4BC1" w:rsidRPr="00087CA8" w:rsidRDefault="009C4BC1" w:rsidP="00087CA8">
      <w:pPr>
        <w:pStyle w:val="Quote1"/>
        <w:rPr>
          <w:b/>
          <w:bCs/>
        </w:rPr>
      </w:pPr>
      <w:r w:rsidRPr="00087CA8">
        <w:rPr>
          <w:b/>
          <w:bCs/>
        </w:rPr>
        <w:t>15A Construction of Acts to be subject to Constitution</w:t>
      </w:r>
    </w:p>
    <w:p w14:paraId="2F73EB3C" w14:textId="77777777" w:rsidR="009C4BC1" w:rsidRDefault="009C4BC1" w:rsidP="00BE4488">
      <w:pPr>
        <w:pStyle w:val="Quote2"/>
      </w:pPr>
      <w:r>
        <w:t>Every Act shall be read and construed subject to the Constitution, and so as not to exceed the legislative power of the Commonwealth, to the intent that where any enactment thereof would, but for this section, have been construed as being in excess of that power, it shall nevertheless be a valid enactment to the extent to which it is not in excess of that power.</w:t>
      </w:r>
    </w:p>
    <w:p w14:paraId="3561237E" w14:textId="11AA1EF9" w:rsidR="00D67B7D" w:rsidRDefault="00D67B7D" w:rsidP="00D67B7D">
      <w:pPr>
        <w:pStyle w:val="ParaNumbering"/>
        <w:tabs>
          <w:tab w:val="clear" w:pos="720"/>
        </w:tabs>
      </w:pPr>
      <w:r>
        <w:t>References in these reasons to s 15A are references to s 15A of the Acts Interpretation Act.</w:t>
      </w:r>
    </w:p>
    <w:p w14:paraId="2CE40FE1" w14:textId="53C8C9B2" w:rsidR="00A5339B" w:rsidRPr="00FD7447" w:rsidRDefault="00FA533A" w:rsidP="00DD48B5">
      <w:pPr>
        <w:pStyle w:val="ParaNumbering"/>
        <w:tabs>
          <w:tab w:val="clear" w:pos="720"/>
        </w:tabs>
      </w:pPr>
      <w:bookmarkStart w:id="35" w:name="_Ref191819273"/>
      <w:r w:rsidRPr="00FD7447">
        <w:t>As the primary judge noted</w:t>
      </w:r>
      <w:r w:rsidR="003B3E2C" w:rsidRPr="00FD7447">
        <w:t xml:space="preserve"> at</w:t>
      </w:r>
      <w:r w:rsidR="00553254" w:rsidRPr="00FD7447">
        <w:t xml:space="preserve"> </w:t>
      </w:r>
      <w:r w:rsidRPr="00FD7447">
        <w:t>J</w:t>
      </w:r>
      <w:r w:rsidR="00A95F04" w:rsidRPr="00FD7447">
        <w:t xml:space="preserve"> [60]</w:t>
      </w:r>
      <w:r w:rsidR="00553254" w:rsidRPr="00FD7447">
        <w:t>,</w:t>
      </w:r>
      <w:r w:rsidR="00A95F04" w:rsidRPr="00FD7447">
        <w:t xml:space="preserve"> t</w:t>
      </w:r>
      <w:r w:rsidR="00A31D89" w:rsidRPr="00FD7447">
        <w:t xml:space="preserve">he </w:t>
      </w:r>
      <w:r w:rsidR="007A25CA" w:rsidRPr="00FD7447">
        <w:t>appellant</w:t>
      </w:r>
      <w:r w:rsidR="005465A2" w:rsidRPr="00FD7447">
        <w:t xml:space="preserve"> </w:t>
      </w:r>
      <w:r w:rsidR="00EA0F6E" w:rsidRPr="00FD7447">
        <w:t xml:space="preserve">had </w:t>
      </w:r>
      <w:r w:rsidR="007A25CA" w:rsidRPr="00FD7447">
        <w:t xml:space="preserve">invoked the three considerations identified by the High Court </w:t>
      </w:r>
      <w:r w:rsidR="002E34D0" w:rsidRPr="00FD7447">
        <w:t xml:space="preserve">in </w:t>
      </w:r>
      <w:r w:rsidR="002E34D0" w:rsidRPr="00FD7447">
        <w:rPr>
          <w:i/>
          <w:iCs/>
        </w:rPr>
        <w:t>Victoria v Commonwealth</w:t>
      </w:r>
      <w:r w:rsidR="00D145B7" w:rsidRPr="00FD7447">
        <w:rPr>
          <w:i/>
          <w:iCs/>
        </w:rPr>
        <w:t xml:space="preserve"> (</w:t>
      </w:r>
      <w:r w:rsidR="00D145B7" w:rsidRPr="00FD7447">
        <w:rPr>
          <w:b/>
          <w:bCs/>
          <w:i/>
          <w:iCs/>
        </w:rPr>
        <w:t xml:space="preserve">Industrial </w:t>
      </w:r>
      <w:r w:rsidR="00945C45" w:rsidRPr="00FD7447">
        <w:rPr>
          <w:b/>
          <w:bCs/>
          <w:i/>
          <w:iCs/>
        </w:rPr>
        <w:t>R</w:t>
      </w:r>
      <w:r w:rsidR="00D145B7" w:rsidRPr="00FD7447">
        <w:rPr>
          <w:b/>
          <w:bCs/>
          <w:i/>
          <w:iCs/>
        </w:rPr>
        <w:t xml:space="preserve">elations </w:t>
      </w:r>
      <w:r w:rsidR="004778F2" w:rsidRPr="00FD7447">
        <w:rPr>
          <w:b/>
          <w:bCs/>
          <w:i/>
          <w:iCs/>
        </w:rPr>
        <w:t xml:space="preserve">Act </w:t>
      </w:r>
      <w:r w:rsidR="00ED2F39" w:rsidRPr="00FD7447">
        <w:rPr>
          <w:b/>
          <w:bCs/>
          <w:i/>
          <w:iCs/>
        </w:rPr>
        <w:t>c</w:t>
      </w:r>
      <w:r w:rsidR="00D145B7" w:rsidRPr="00FD7447">
        <w:rPr>
          <w:b/>
          <w:bCs/>
          <w:i/>
          <w:iCs/>
        </w:rPr>
        <w:t>ase</w:t>
      </w:r>
      <w:r w:rsidR="00D145B7" w:rsidRPr="00FD7447">
        <w:rPr>
          <w:i/>
          <w:iCs/>
        </w:rPr>
        <w:t>)</w:t>
      </w:r>
      <w:r w:rsidR="002E34D0" w:rsidRPr="00FD7447">
        <w:rPr>
          <w:i/>
          <w:iCs/>
        </w:rPr>
        <w:t xml:space="preserve"> </w:t>
      </w:r>
      <w:r w:rsidR="00A75835" w:rsidRPr="00FD7447">
        <w:t xml:space="preserve">(1996) 187 CLR 416; [1996] HCA </w:t>
      </w:r>
      <w:r w:rsidR="00264B04" w:rsidRPr="00FD7447">
        <w:t xml:space="preserve">56 </w:t>
      </w:r>
      <w:r w:rsidR="00AB51C5" w:rsidRPr="00FD7447">
        <w:t xml:space="preserve">that </w:t>
      </w:r>
      <w:r w:rsidR="002E34D0" w:rsidRPr="00FD7447">
        <w:t>may prevent s 15A (or an analogous provision) being applied so as to give a provision a valid partial operation</w:t>
      </w:r>
      <w:r w:rsidR="005465A2" w:rsidRPr="00FD7447">
        <w:t xml:space="preserve"> and </w:t>
      </w:r>
      <w:r w:rsidR="00264B04" w:rsidRPr="00FD7447">
        <w:t xml:space="preserve">made </w:t>
      </w:r>
      <w:r w:rsidR="0012287A" w:rsidRPr="00FD7447">
        <w:t xml:space="preserve">four </w:t>
      </w:r>
      <w:r w:rsidR="00264B04" w:rsidRPr="00FD7447">
        <w:t>points</w:t>
      </w:r>
      <w:r w:rsidR="00A95F04" w:rsidRPr="00FD7447">
        <w:t>,</w:t>
      </w:r>
      <w:r w:rsidR="00FB2F81" w:rsidRPr="00FD7447">
        <w:t xml:space="preserve"> </w:t>
      </w:r>
      <w:r w:rsidR="00264B04" w:rsidRPr="00FD7447">
        <w:t xml:space="preserve">which the primary judge </w:t>
      </w:r>
      <w:r w:rsidR="00636DF8" w:rsidRPr="00FD7447">
        <w:t>dealt with sequentially.</w:t>
      </w:r>
      <w:bookmarkEnd w:id="35"/>
    </w:p>
    <w:p w14:paraId="203DF499" w14:textId="58EE87E8" w:rsidR="00316B11" w:rsidRPr="00316B11" w:rsidRDefault="006562B6" w:rsidP="004C1041">
      <w:pPr>
        <w:pStyle w:val="ParaNumbering"/>
        <w:tabs>
          <w:tab w:val="clear" w:pos="720"/>
        </w:tabs>
      </w:pPr>
      <w:r>
        <w:t xml:space="preserve">First, </w:t>
      </w:r>
      <w:r w:rsidR="00932863">
        <w:t>the</w:t>
      </w:r>
      <w:r w:rsidR="00B9244E">
        <w:t xml:space="preserve"> appellant</w:t>
      </w:r>
      <w:r w:rsidR="005C56C3">
        <w:t xml:space="preserve"> </w:t>
      </w:r>
      <w:r w:rsidR="00932863">
        <w:t xml:space="preserve">submitted that </w:t>
      </w:r>
      <w:r w:rsidR="00F91117">
        <w:t xml:space="preserve">s 15A cannot be </w:t>
      </w:r>
      <w:r w:rsidR="005465A2">
        <w:t>applied</w:t>
      </w:r>
      <w:r w:rsidR="00F91117">
        <w:t xml:space="preserve"> to </w:t>
      </w:r>
      <w:proofErr w:type="gramStart"/>
      <w:r w:rsidR="00F91117">
        <w:t>effect</w:t>
      </w:r>
      <w:proofErr w:type="gramEnd"/>
      <w:r w:rsidR="00F91117">
        <w:t xml:space="preserve"> a partial validation unless “the operation of the remaining parts of the law remain unchanged</w:t>
      </w:r>
      <w:r w:rsidR="00932863">
        <w:t>”</w:t>
      </w:r>
      <w:r w:rsidR="00F91117">
        <w:t xml:space="preserve">: </w:t>
      </w:r>
      <w:proofErr w:type="spellStart"/>
      <w:r w:rsidR="00F91117" w:rsidRPr="00087CA8">
        <w:rPr>
          <w:b/>
          <w:bCs/>
          <w:i/>
          <w:iCs/>
        </w:rPr>
        <w:t>Pidoto</w:t>
      </w:r>
      <w:proofErr w:type="spellEnd"/>
      <w:r w:rsidR="008310EE" w:rsidRPr="0083283B">
        <w:rPr>
          <w:i/>
          <w:iCs/>
        </w:rPr>
        <w:t xml:space="preserve"> v Victoria </w:t>
      </w:r>
      <w:r w:rsidR="00C210A0" w:rsidRPr="0083283B">
        <w:t>(1943) 68 CLR 87; [1943] HCA 37</w:t>
      </w:r>
      <w:r w:rsidR="00F91117" w:rsidRPr="0083283B">
        <w:rPr>
          <w:i/>
          <w:iCs/>
        </w:rPr>
        <w:t xml:space="preserve"> </w:t>
      </w:r>
      <w:r w:rsidR="00F91117">
        <w:t>at 108 (Latham CJ)</w:t>
      </w:r>
      <w:r w:rsidR="00316B11">
        <w:t xml:space="preserve"> and </w:t>
      </w:r>
      <w:r w:rsidR="00316B11" w:rsidRPr="000927BA">
        <w:rPr>
          <w:i/>
          <w:iCs/>
        </w:rPr>
        <w:t xml:space="preserve">Re </w:t>
      </w:r>
      <w:proofErr w:type="spellStart"/>
      <w:r w:rsidR="00316B11" w:rsidRPr="000927BA">
        <w:rPr>
          <w:i/>
          <w:iCs/>
        </w:rPr>
        <w:t>Dingjan</w:t>
      </w:r>
      <w:proofErr w:type="spellEnd"/>
      <w:r w:rsidR="00316B11" w:rsidRPr="0083283B">
        <w:rPr>
          <w:i/>
          <w:iCs/>
        </w:rPr>
        <w:t xml:space="preserve">; Ex </w:t>
      </w:r>
      <w:proofErr w:type="spellStart"/>
      <w:r w:rsidR="00316B11" w:rsidRPr="0083283B">
        <w:rPr>
          <w:i/>
          <w:iCs/>
        </w:rPr>
        <w:t>parte</w:t>
      </w:r>
      <w:proofErr w:type="spellEnd"/>
      <w:r w:rsidR="00316B11" w:rsidRPr="0083283B">
        <w:rPr>
          <w:i/>
          <w:iCs/>
        </w:rPr>
        <w:t xml:space="preserve"> Wagner </w:t>
      </w:r>
      <w:r w:rsidR="00316B11" w:rsidRPr="0083283B">
        <w:t>(1995) 183 CLR 323</w:t>
      </w:r>
      <w:r w:rsidR="00BF1C78">
        <w:t>; [1995] HCA 16</w:t>
      </w:r>
      <w:r w:rsidR="00316B11" w:rsidRPr="00316B11">
        <w:t xml:space="preserve"> at 347</w:t>
      </w:r>
      <w:r w:rsidR="004C1041">
        <w:t>–</w:t>
      </w:r>
      <w:r w:rsidR="00316B11" w:rsidRPr="00316B11">
        <w:t>348 (Dawson J)</w:t>
      </w:r>
      <w:r w:rsidR="00316B11">
        <w:t>.</w:t>
      </w:r>
      <w:r w:rsidR="00D72977">
        <w:t xml:space="preserve"> </w:t>
      </w:r>
      <w:r w:rsidR="005465A2">
        <w:t>T</w:t>
      </w:r>
      <w:r w:rsidR="00FD61DD">
        <w:t xml:space="preserve">he primary judge </w:t>
      </w:r>
      <w:r w:rsidR="005465A2">
        <w:t xml:space="preserve">considered </w:t>
      </w:r>
      <w:r w:rsidR="00FD61DD">
        <w:t xml:space="preserve">that </w:t>
      </w:r>
      <w:r w:rsidR="00CC0314">
        <w:t xml:space="preserve">this consideration did not arise because </w:t>
      </w:r>
      <w:r w:rsidR="00025828">
        <w:t xml:space="preserve">the operation of </w:t>
      </w:r>
      <w:r w:rsidR="00EC51F2">
        <w:t>the Regulations</w:t>
      </w:r>
      <w:r w:rsidR="00025828">
        <w:t xml:space="preserve"> would not be markedly different </w:t>
      </w:r>
      <w:r w:rsidR="008C50EA">
        <w:t xml:space="preserve">on the </w:t>
      </w:r>
      <w:r w:rsidR="0069619C">
        <w:t xml:space="preserve">Minister’s proposed </w:t>
      </w:r>
      <w:r w:rsidR="008C50EA">
        <w:t>construction</w:t>
      </w:r>
      <w:r w:rsidR="0069619C">
        <w:t xml:space="preserve"> of regs 14 and 15</w:t>
      </w:r>
      <w:r w:rsidR="008C50EA">
        <w:t xml:space="preserve">, </w:t>
      </w:r>
      <w:r w:rsidR="00CB5B05">
        <w:t>although</w:t>
      </w:r>
      <w:r w:rsidR="00EC51F2">
        <w:t xml:space="preserve"> there would be </w:t>
      </w:r>
      <w:r w:rsidR="00F916CF">
        <w:t xml:space="preserve">circumstances in which </w:t>
      </w:r>
      <w:r w:rsidR="002E31A2">
        <w:t>the prohibitions in regs 14 and 15 did not apply</w:t>
      </w:r>
      <w:r w:rsidR="00C06657">
        <w:t>: J [62]</w:t>
      </w:r>
      <w:r w:rsidR="00F03657">
        <w:t>.</w:t>
      </w:r>
    </w:p>
    <w:p w14:paraId="06FF7543" w14:textId="5315BD8F" w:rsidR="006562B6" w:rsidRDefault="00CD4066" w:rsidP="00BB1D49">
      <w:pPr>
        <w:pStyle w:val="ParaNumbering"/>
        <w:tabs>
          <w:tab w:val="clear" w:pos="720"/>
        </w:tabs>
      </w:pPr>
      <w:r>
        <w:t>Second</w:t>
      </w:r>
      <w:r w:rsidR="005C56C3">
        <w:t>ly</w:t>
      </w:r>
      <w:r>
        <w:t xml:space="preserve">, </w:t>
      </w:r>
      <w:r w:rsidR="00DD0CB2">
        <w:t>the</w:t>
      </w:r>
      <w:r w:rsidR="005C56C3">
        <w:t xml:space="preserve"> </w:t>
      </w:r>
      <w:r w:rsidR="00B9244E">
        <w:t xml:space="preserve">appellant </w:t>
      </w:r>
      <w:r w:rsidR="00DD0CB2">
        <w:t xml:space="preserve">submitted that s 15A cannot apply “if it </w:t>
      </w:r>
      <w:r w:rsidR="00DD0CB2" w:rsidRPr="00DD0CB2">
        <w:t xml:space="preserve">appears that </w:t>
      </w:r>
      <w:r w:rsidR="005E1D5A">
        <w:t>‘</w:t>
      </w:r>
      <w:r w:rsidR="00DD0CB2" w:rsidRPr="00DD0CB2">
        <w:t>the law was intended to operate fully and completely according to its terms, or not at all’”</w:t>
      </w:r>
      <w:r w:rsidR="00DD0CB2">
        <w:t xml:space="preserve">: </w:t>
      </w:r>
      <w:proofErr w:type="spellStart"/>
      <w:r w:rsidR="00DD0CB2">
        <w:rPr>
          <w:i/>
          <w:iCs/>
        </w:rPr>
        <w:t>Pidoto</w:t>
      </w:r>
      <w:proofErr w:type="spellEnd"/>
      <w:r w:rsidR="00DD0CB2">
        <w:rPr>
          <w:i/>
          <w:iCs/>
        </w:rPr>
        <w:t xml:space="preserve"> </w:t>
      </w:r>
      <w:r w:rsidR="00DD0CB2">
        <w:t>at 108</w:t>
      </w:r>
      <w:r w:rsidR="007D45A8">
        <w:t xml:space="preserve"> (Latham CJ)</w:t>
      </w:r>
      <w:r w:rsidR="00DD0CB2">
        <w:t>.</w:t>
      </w:r>
      <w:r w:rsidR="00960CBE">
        <w:t xml:space="preserve"> </w:t>
      </w:r>
      <w:r w:rsidR="005465A2">
        <w:t>T</w:t>
      </w:r>
      <w:r w:rsidR="00595133">
        <w:t xml:space="preserve">he </w:t>
      </w:r>
      <w:r w:rsidR="00960CBE">
        <w:t>primary judge did not discern</w:t>
      </w:r>
      <w:r w:rsidR="00595133">
        <w:t xml:space="preserve"> an intention in the Regulations that they are not to have any operation at all</w:t>
      </w:r>
      <w:r w:rsidR="0049326A">
        <w:t xml:space="preserve"> </w:t>
      </w:r>
      <w:r w:rsidR="00595133">
        <w:t>if the prohibitions in regs 14 and 15 cannot apply to the full extent</w:t>
      </w:r>
      <w:r w:rsidR="000D3DF7">
        <w:t>,</w:t>
      </w:r>
      <w:r w:rsidR="00C95BA6">
        <w:t xml:space="preserve"> </w:t>
      </w:r>
      <w:r w:rsidR="005465A2">
        <w:t>for the following reasons</w:t>
      </w:r>
      <w:r w:rsidR="00374098">
        <w:t>, at</w:t>
      </w:r>
      <w:r w:rsidR="00553254">
        <w:t xml:space="preserve"> J </w:t>
      </w:r>
      <w:r w:rsidR="005B74DA">
        <w:t>[64]</w:t>
      </w:r>
      <w:r w:rsidR="001D4635">
        <w:t>:</w:t>
      </w:r>
    </w:p>
    <w:p w14:paraId="196E7B0F" w14:textId="3B28AFFE" w:rsidR="00AD20A8" w:rsidRDefault="00AC3629" w:rsidP="00F5476F">
      <w:pPr>
        <w:pStyle w:val="ListNo1alt"/>
        <w:numPr>
          <w:ilvl w:val="0"/>
          <w:numId w:val="30"/>
        </w:numPr>
      </w:pPr>
      <w:r>
        <w:t xml:space="preserve">the </w:t>
      </w:r>
      <w:r w:rsidR="00AD20A8">
        <w:t xml:space="preserve">carving out of cases in which the prohibitions cannot apply </w:t>
      </w:r>
      <w:r w:rsidR="00B54986">
        <w:t>did</w:t>
      </w:r>
      <w:r w:rsidR="00AD20A8">
        <w:t xml:space="preserve"> not compromise the policy rationale for the scheme of designating persons and </w:t>
      </w:r>
      <w:proofErr w:type="gramStart"/>
      <w:r w:rsidR="00AD20A8">
        <w:t>entities;</w:t>
      </w:r>
      <w:proofErr w:type="gramEnd"/>
    </w:p>
    <w:p w14:paraId="3E739C61" w14:textId="29C52380" w:rsidR="00AD20A8" w:rsidRDefault="00A347EB" w:rsidP="00F5476F">
      <w:pPr>
        <w:pStyle w:val="ListNo1alt"/>
        <w:numPr>
          <w:ilvl w:val="0"/>
          <w:numId w:val="30"/>
        </w:numPr>
      </w:pPr>
      <w:r>
        <w:t>t</w:t>
      </w:r>
      <w:r w:rsidR="00AD20A8">
        <w:t xml:space="preserve">he provision for declaring a person for travel bans in reg 6(b) </w:t>
      </w:r>
      <w:r w:rsidR="00DE29E0">
        <w:t>was</w:t>
      </w:r>
      <w:r w:rsidR="00AD20A8">
        <w:t xml:space="preserve"> separate</w:t>
      </w:r>
      <w:r w:rsidR="00DE29E0">
        <w:t>,</w:t>
      </w:r>
      <w:r w:rsidR="00AD20A8">
        <w:t xml:space="preserve"> and ha</w:t>
      </w:r>
      <w:r w:rsidR="00DE29E0">
        <w:t>d</w:t>
      </w:r>
      <w:r w:rsidR="00AD20A8">
        <w:t xml:space="preserve"> consequences under other legislation</w:t>
      </w:r>
      <w:r w:rsidR="00DE29E0">
        <w:t>,</w:t>
      </w:r>
      <w:r w:rsidR="0095512D">
        <w:t xml:space="preserve"> and there was no reason to think that </w:t>
      </w:r>
      <w:r w:rsidR="00DE29E0">
        <w:t>the provision for travel bans was not intended to operate if part of the designation regime could not validly be put into effect</w:t>
      </w:r>
      <w:r w:rsidR="00AD20A8">
        <w:t>; and</w:t>
      </w:r>
    </w:p>
    <w:p w14:paraId="66DD2E89" w14:textId="51E0ABBE" w:rsidR="006C002C" w:rsidRDefault="00E718D4" w:rsidP="00F5476F">
      <w:pPr>
        <w:pStyle w:val="ListNo1alt"/>
        <w:numPr>
          <w:ilvl w:val="0"/>
          <w:numId w:val="30"/>
        </w:numPr>
      </w:pPr>
      <w:r>
        <w:lastRenderedPageBreak/>
        <w:t>t</w:t>
      </w:r>
      <w:r w:rsidR="00AD20A8">
        <w:t>he Regulations expressly contemplate that provisions of regs 14 and 15 will not apply in all cases, by providing for the issue of permits whose effect is to create exemptions from their effect.</w:t>
      </w:r>
    </w:p>
    <w:p w14:paraId="460189CC" w14:textId="7FF4473B" w:rsidR="00C454AA" w:rsidRDefault="00F1075A" w:rsidP="00DD48B5">
      <w:pPr>
        <w:pStyle w:val="ParaNumbering"/>
        <w:tabs>
          <w:tab w:val="clear" w:pos="720"/>
        </w:tabs>
      </w:pPr>
      <w:bookmarkStart w:id="36" w:name="_Ref191819279"/>
      <w:r>
        <w:t xml:space="preserve">Thirdly, the appellant submitted </w:t>
      </w:r>
      <w:r w:rsidR="0000013A">
        <w:t xml:space="preserve">that there </w:t>
      </w:r>
      <w:r w:rsidR="000D3DF7">
        <w:t>is</w:t>
      </w:r>
      <w:r w:rsidR="0000013A">
        <w:t xml:space="preserve"> an additional difficulty if the impugned law “can be reduced </w:t>
      </w:r>
      <w:r w:rsidR="0000013A" w:rsidRPr="0000013A">
        <w:t>to validity by adopting any one or more of a number of several possible limitations</w:t>
      </w:r>
      <w:r w:rsidR="0000013A">
        <w:t>”</w:t>
      </w:r>
      <w:r w:rsidR="00ED114D">
        <w:t>:</w:t>
      </w:r>
      <w:r w:rsidR="0026721B">
        <w:t xml:space="preserve"> </w:t>
      </w:r>
      <w:proofErr w:type="spellStart"/>
      <w:r w:rsidR="00922679" w:rsidRPr="00510E61">
        <w:rPr>
          <w:i/>
          <w:iCs/>
        </w:rPr>
        <w:t>Pidoto</w:t>
      </w:r>
      <w:proofErr w:type="spellEnd"/>
      <w:r w:rsidR="00922679" w:rsidRPr="00E64601">
        <w:t xml:space="preserve"> at 111</w:t>
      </w:r>
      <w:r w:rsidR="00ED114D">
        <w:t xml:space="preserve"> (Latham CJ)</w:t>
      </w:r>
      <w:r w:rsidR="006F1652">
        <w:t>.</w:t>
      </w:r>
      <w:r w:rsidR="009C5355">
        <w:t xml:space="preserve"> </w:t>
      </w:r>
      <w:r w:rsidR="00FA27EA">
        <w:t>The primary judg</w:t>
      </w:r>
      <w:r w:rsidR="00AB0B95">
        <w:t>e</w:t>
      </w:r>
      <w:r w:rsidR="00553254">
        <w:t xml:space="preserve"> </w:t>
      </w:r>
      <w:r w:rsidR="0049326A">
        <w:t xml:space="preserve">noted </w:t>
      </w:r>
      <w:r w:rsidR="00AB0B95">
        <w:t xml:space="preserve">at </w:t>
      </w:r>
      <w:r w:rsidR="003B3E2C">
        <w:t xml:space="preserve">J [65], </w:t>
      </w:r>
      <w:r w:rsidR="00E64601" w:rsidRPr="00E64601">
        <w:t>“if, in a case of that kind, ‘no reason based upon the law itself can be stated for selecting one limitation rather than another, the law should be held to be invalid’</w:t>
      </w:r>
      <w:r w:rsidR="00510E61">
        <w:t>”</w:t>
      </w:r>
      <w:r w:rsidR="00426866">
        <w:t xml:space="preserve">, quoting </w:t>
      </w:r>
      <w:proofErr w:type="spellStart"/>
      <w:r w:rsidR="00E64601" w:rsidRPr="00510E61">
        <w:rPr>
          <w:i/>
          <w:iCs/>
        </w:rPr>
        <w:t>Pidoto</w:t>
      </w:r>
      <w:proofErr w:type="spellEnd"/>
      <w:r w:rsidR="00E64601" w:rsidRPr="00E64601">
        <w:t xml:space="preserve"> at 111.</w:t>
      </w:r>
      <w:r w:rsidR="00493E9F">
        <w:t xml:space="preserve"> </w:t>
      </w:r>
      <w:r w:rsidR="005B71DD">
        <w:t>The primary judge considered that this point fell away when it was confirmed</w:t>
      </w:r>
      <w:r w:rsidR="00587A5D">
        <w:t>,</w:t>
      </w:r>
      <w:r w:rsidR="005B71DD">
        <w:t xml:space="preserve"> </w:t>
      </w:r>
      <w:r w:rsidR="00312344">
        <w:t xml:space="preserve">by </w:t>
      </w:r>
      <w:r w:rsidR="005B71DD">
        <w:t xml:space="preserve">the </w:t>
      </w:r>
      <w:r w:rsidR="00312344">
        <w:t xml:space="preserve">reference to “purpose” in the </w:t>
      </w:r>
      <w:r w:rsidR="005B71DD">
        <w:t>Minister</w:t>
      </w:r>
      <w:r w:rsidR="00312344">
        <w:t xml:space="preserve">’s submission, </w:t>
      </w:r>
      <w:r w:rsidR="0006281B">
        <w:t xml:space="preserve">that </w:t>
      </w:r>
      <w:r w:rsidR="00312344">
        <w:t xml:space="preserve">the Minister was </w:t>
      </w:r>
      <w:r w:rsidR="005B71DD">
        <w:t>not invoking a person’s subjective purpose</w:t>
      </w:r>
      <w:r w:rsidR="00325A27">
        <w:t xml:space="preserve"> as a limiting factor</w:t>
      </w:r>
      <w:r w:rsidR="00AB0B95">
        <w:t>: J [66]</w:t>
      </w:r>
      <w:r w:rsidR="00325A27">
        <w:t>.</w:t>
      </w:r>
      <w:bookmarkEnd w:id="36"/>
    </w:p>
    <w:p w14:paraId="11FCEC53" w14:textId="1FDDCDCA" w:rsidR="00C32474" w:rsidRDefault="00587A5D" w:rsidP="004D0EA1">
      <w:pPr>
        <w:pStyle w:val="ParaNumbering"/>
        <w:tabs>
          <w:tab w:val="clear" w:pos="720"/>
        </w:tabs>
      </w:pPr>
      <w:r>
        <w:t>The primary judge</w:t>
      </w:r>
      <w:r w:rsidR="00AB0B95">
        <w:t xml:space="preserve"> </w:t>
      </w:r>
      <w:r w:rsidR="00337179">
        <w:t xml:space="preserve">then </w:t>
      </w:r>
      <w:r w:rsidR="00131719">
        <w:t>referred</w:t>
      </w:r>
      <w:r w:rsidR="00690FCB">
        <w:t>,</w:t>
      </w:r>
      <w:r w:rsidR="00375322">
        <w:t xml:space="preserve"> </w:t>
      </w:r>
      <w:r w:rsidR="00690FCB">
        <w:t xml:space="preserve">at J [67], </w:t>
      </w:r>
      <w:r w:rsidR="00375322">
        <w:t xml:space="preserve">to the </w:t>
      </w:r>
      <w:r w:rsidR="00375322">
        <w:rPr>
          <w:i/>
          <w:iCs/>
        </w:rPr>
        <w:t xml:space="preserve">Industrial Relations </w:t>
      </w:r>
      <w:r w:rsidR="003F0445">
        <w:rPr>
          <w:i/>
          <w:iCs/>
        </w:rPr>
        <w:t xml:space="preserve">Act </w:t>
      </w:r>
      <w:r w:rsidR="00976399">
        <w:rPr>
          <w:i/>
          <w:iCs/>
        </w:rPr>
        <w:t>c</w:t>
      </w:r>
      <w:r w:rsidR="00375322">
        <w:rPr>
          <w:i/>
          <w:iCs/>
        </w:rPr>
        <w:t>ase</w:t>
      </w:r>
      <w:r w:rsidR="000C37E9">
        <w:t>,</w:t>
      </w:r>
      <w:r w:rsidR="00375322">
        <w:rPr>
          <w:i/>
          <w:iCs/>
        </w:rPr>
        <w:t xml:space="preserve"> </w:t>
      </w:r>
      <w:r w:rsidR="00375322">
        <w:t xml:space="preserve">where the majority said that, “where </w:t>
      </w:r>
      <w:r w:rsidR="00983F22">
        <w:t xml:space="preserve">a law is intended to operate in an area where Parliament’s legislative power is </w:t>
      </w:r>
      <w:r w:rsidR="00216662">
        <w:t xml:space="preserve">subject to a clear limitation, it can be read as subject to that limitation”: </w:t>
      </w:r>
      <w:r w:rsidR="00216662">
        <w:rPr>
          <w:i/>
          <w:iCs/>
        </w:rPr>
        <w:t xml:space="preserve">Industrial Relations </w:t>
      </w:r>
      <w:r w:rsidR="003F0445">
        <w:rPr>
          <w:i/>
          <w:iCs/>
        </w:rPr>
        <w:t xml:space="preserve">Act </w:t>
      </w:r>
      <w:r w:rsidR="000C37E9">
        <w:rPr>
          <w:i/>
          <w:iCs/>
        </w:rPr>
        <w:t>c</w:t>
      </w:r>
      <w:r w:rsidR="00216662">
        <w:rPr>
          <w:i/>
          <w:iCs/>
        </w:rPr>
        <w:t xml:space="preserve">ase </w:t>
      </w:r>
      <w:r w:rsidR="00216662">
        <w:t>at 502</w:t>
      </w:r>
      <w:r w:rsidR="004D0EA1">
        <w:t>–</w:t>
      </w:r>
      <w:r w:rsidR="00216662">
        <w:t>503</w:t>
      </w:r>
      <w:r w:rsidR="00391134">
        <w:t xml:space="preserve"> (</w:t>
      </w:r>
      <w:r w:rsidR="00391134" w:rsidRPr="00684840">
        <w:t xml:space="preserve">Brennan CJ, Toohey, </w:t>
      </w:r>
      <w:proofErr w:type="spellStart"/>
      <w:r w:rsidR="00391134" w:rsidRPr="00684840">
        <w:t>Gaudron</w:t>
      </w:r>
      <w:proofErr w:type="spellEnd"/>
      <w:r w:rsidR="00391134" w:rsidRPr="00684840">
        <w:t>, McHugh and Gummow JJ)</w:t>
      </w:r>
      <w:r w:rsidR="00216662">
        <w:t xml:space="preserve">. </w:t>
      </w:r>
      <w:r w:rsidR="00C32474">
        <w:t xml:space="preserve">His Honour </w:t>
      </w:r>
      <w:r w:rsidR="00131719">
        <w:t>continued, a</w:t>
      </w:r>
      <w:r w:rsidR="00426866">
        <w:t>t</w:t>
      </w:r>
      <w:r w:rsidR="00C32474">
        <w:t xml:space="preserve"> J [68]:</w:t>
      </w:r>
    </w:p>
    <w:p w14:paraId="2B2F643F" w14:textId="17CBFEA0" w:rsidR="00C32474" w:rsidRPr="00C1210A" w:rsidRDefault="00C1210A" w:rsidP="00A313FF">
      <w:pPr>
        <w:pStyle w:val="Quote1"/>
        <w:rPr>
          <w:szCs w:val="22"/>
        </w:rPr>
      </w:pPr>
      <w:r w:rsidRPr="00C1210A">
        <w:rPr>
          <w:szCs w:val="22"/>
        </w:rPr>
        <w:t xml:space="preserve">The actual holding in the </w:t>
      </w:r>
      <w:r w:rsidRPr="00C1210A">
        <w:rPr>
          <w:i/>
          <w:iCs/>
          <w:szCs w:val="22"/>
        </w:rPr>
        <w:t>Industrial Relations Act case</w:t>
      </w:r>
      <w:r w:rsidRPr="00C1210A">
        <w:rPr>
          <w:szCs w:val="22"/>
        </w:rPr>
        <w:t xml:space="preserve"> thus demonstrates that, in the case of a generally expressed provision, the constitutional limitation itself can supply the standard by which reading down is to be </w:t>
      </w:r>
      <w:proofErr w:type="gramStart"/>
      <w:r w:rsidRPr="00C1210A">
        <w:rPr>
          <w:szCs w:val="22"/>
        </w:rPr>
        <w:t>effected</w:t>
      </w:r>
      <w:proofErr w:type="gramEnd"/>
      <w:r w:rsidRPr="00C1210A">
        <w:rPr>
          <w:szCs w:val="22"/>
        </w:rPr>
        <w:t xml:space="preserve">. General expressions (such as, in this case, “deal with”, “make available” and “use” in regs 14 and 15) can be read as referring to dealings that may validly be controlled or prohibited but </w:t>
      </w:r>
      <w:proofErr w:type="spellStart"/>
      <w:r w:rsidRPr="00C1210A">
        <w:rPr>
          <w:szCs w:val="22"/>
        </w:rPr>
        <w:t>not</w:t>
      </w:r>
      <w:proofErr w:type="spellEnd"/>
      <w:r w:rsidRPr="00C1210A">
        <w:rPr>
          <w:szCs w:val="22"/>
        </w:rPr>
        <w:t xml:space="preserve"> other dealings. To do so is to apply the constitutional limitation to the </w:t>
      </w:r>
      <w:proofErr w:type="gramStart"/>
      <w:r w:rsidRPr="00C1210A">
        <w:rPr>
          <w:szCs w:val="22"/>
        </w:rPr>
        <w:t>law, and</w:t>
      </w:r>
      <w:proofErr w:type="gramEnd"/>
      <w:r w:rsidRPr="00C1210A">
        <w:rPr>
          <w:szCs w:val="22"/>
        </w:rPr>
        <w:t xml:space="preserve"> does not involve choosing between equally effective modes of limitation. The entrenched jurisdiction under s 75(v), as outlined above, gives rise to a limitation on legislative power whose existence can be described as “clear” and whose boundaries are similarly well-understood to those of the limitation applied in the </w:t>
      </w:r>
      <w:r w:rsidRPr="00C1210A">
        <w:rPr>
          <w:i/>
          <w:iCs/>
          <w:szCs w:val="22"/>
        </w:rPr>
        <w:t>Industrial Relations Act</w:t>
      </w:r>
      <w:r w:rsidRPr="00C1210A">
        <w:rPr>
          <w:szCs w:val="22"/>
        </w:rPr>
        <w:t xml:space="preserve"> case.</w:t>
      </w:r>
    </w:p>
    <w:p w14:paraId="3E5B3498" w14:textId="33297769" w:rsidR="006F1652" w:rsidRDefault="006F1652" w:rsidP="00DD48B5">
      <w:pPr>
        <w:pStyle w:val="ParaNumbering"/>
        <w:tabs>
          <w:tab w:val="clear" w:pos="720"/>
        </w:tabs>
      </w:pPr>
      <w:r>
        <w:t>F</w:t>
      </w:r>
      <w:r w:rsidR="00D80D15">
        <w:t>ourthly</w:t>
      </w:r>
      <w:r>
        <w:t xml:space="preserve">, the appellant submitted that </w:t>
      </w:r>
      <w:r w:rsidR="00B11355" w:rsidRPr="00B11355">
        <w:t>a court should not read down a provision by inserting an exclusion that suffers from “inherent imprecision”</w:t>
      </w:r>
      <w:r w:rsidR="00701DDA">
        <w:t xml:space="preserve">, to use the language of Kiefel CJ and </w:t>
      </w:r>
      <w:proofErr w:type="spellStart"/>
      <w:r w:rsidR="00701DDA">
        <w:t>Gageler</w:t>
      </w:r>
      <w:proofErr w:type="spellEnd"/>
      <w:r w:rsidR="00701DDA">
        <w:t xml:space="preserve"> J</w:t>
      </w:r>
      <w:r w:rsidR="00D6303B">
        <w:t xml:space="preserve"> </w:t>
      </w:r>
      <w:r w:rsidR="008842E3">
        <w:t xml:space="preserve">(as his Honour then was) </w:t>
      </w:r>
      <w:r w:rsidR="00701DDA">
        <w:t>in</w:t>
      </w:r>
      <w:r w:rsidR="00B11355">
        <w:t xml:space="preserve"> </w:t>
      </w:r>
      <w:r w:rsidR="00B11355" w:rsidRPr="0083283B">
        <w:rPr>
          <w:i/>
          <w:iCs/>
        </w:rPr>
        <w:t xml:space="preserve">BHP Group Ltd v </w:t>
      </w:r>
      <w:proofErr w:type="spellStart"/>
      <w:r w:rsidR="00B11355" w:rsidRPr="0083283B">
        <w:rPr>
          <w:i/>
          <w:iCs/>
        </w:rPr>
        <w:t>Impiombato</w:t>
      </w:r>
      <w:proofErr w:type="spellEnd"/>
      <w:r w:rsidR="00B11355" w:rsidRPr="0083283B">
        <w:t xml:space="preserve"> (2022) </w:t>
      </w:r>
      <w:r w:rsidR="00E62D0E">
        <w:t>276 CLR 611</w:t>
      </w:r>
      <w:r w:rsidR="00B11355" w:rsidRPr="0083283B">
        <w:t>; [2022] HCA 33</w:t>
      </w:r>
      <w:r w:rsidR="00B11355" w:rsidRPr="00B11355">
        <w:t xml:space="preserve"> at [17].</w:t>
      </w:r>
      <w:r w:rsidR="001E5748">
        <w:t xml:space="preserve"> </w:t>
      </w:r>
      <w:r w:rsidR="0031664D">
        <w:t>However, t</w:t>
      </w:r>
      <w:r w:rsidR="001E5748">
        <w:t xml:space="preserve">he primary judge </w:t>
      </w:r>
      <w:r w:rsidR="008B57AE">
        <w:t>considered</w:t>
      </w:r>
      <w:r w:rsidR="0031664D">
        <w:t xml:space="preserve"> that </w:t>
      </w:r>
      <w:r w:rsidR="00442BB1">
        <w:t xml:space="preserve">the </w:t>
      </w:r>
      <w:r w:rsidR="00442BB1">
        <w:rPr>
          <w:i/>
          <w:iCs/>
        </w:rPr>
        <w:t>Industrial Relations Act case</w:t>
      </w:r>
      <w:r w:rsidR="003345AD">
        <w:rPr>
          <w:i/>
          <w:iCs/>
        </w:rPr>
        <w:t xml:space="preserve"> </w:t>
      </w:r>
      <w:r w:rsidR="003345AD" w:rsidRPr="003345AD">
        <w:t xml:space="preserve">and </w:t>
      </w:r>
      <w:proofErr w:type="spellStart"/>
      <w:r w:rsidR="00442BB1">
        <w:t>Gageler</w:t>
      </w:r>
      <w:proofErr w:type="spellEnd"/>
      <w:r w:rsidR="00F07A00">
        <w:t> </w:t>
      </w:r>
      <w:r w:rsidR="00442BB1">
        <w:t>J’s</w:t>
      </w:r>
      <w:r w:rsidR="003345AD" w:rsidRPr="003345AD">
        <w:t xml:space="preserve"> reasons in </w:t>
      </w:r>
      <w:proofErr w:type="spellStart"/>
      <w:r w:rsidR="003345AD" w:rsidRPr="00301F29">
        <w:rPr>
          <w:b/>
          <w:bCs/>
          <w:i/>
          <w:iCs/>
        </w:rPr>
        <w:t>Tajjour</w:t>
      </w:r>
      <w:proofErr w:type="spellEnd"/>
      <w:r w:rsidR="003345AD" w:rsidRPr="003345AD">
        <w:t xml:space="preserve"> </w:t>
      </w:r>
      <w:r w:rsidR="00F71814" w:rsidRPr="0083283B" w:rsidDel="0053121F">
        <w:rPr>
          <w:i/>
          <w:iCs/>
        </w:rPr>
        <w:t xml:space="preserve">v New South Wales </w:t>
      </w:r>
      <w:r w:rsidR="00F71814" w:rsidRPr="0083283B" w:rsidDel="0053121F">
        <w:t>(2014) 254 CLR 508; [2014] HCA 35</w:t>
      </w:r>
      <w:r w:rsidR="00F71814">
        <w:t xml:space="preserve"> </w:t>
      </w:r>
      <w:r w:rsidR="003345AD" w:rsidRPr="003345AD">
        <w:t>illustrate</w:t>
      </w:r>
      <w:r w:rsidR="00323B4D">
        <w:t xml:space="preserve"> that</w:t>
      </w:r>
      <w:r w:rsidR="003345AD" w:rsidRPr="003345AD">
        <w:t xml:space="preserve"> some indeterminacy in the articulation of the relevant constitutional principle is not a barrier to reading down</w:t>
      </w:r>
      <w:r w:rsidR="008A083D">
        <w:t>: J [72]</w:t>
      </w:r>
      <w:r w:rsidR="003345AD">
        <w:t>.</w:t>
      </w:r>
    </w:p>
    <w:p w14:paraId="2D74411D" w14:textId="5B5F53E0" w:rsidR="009D1F1D" w:rsidRDefault="000C01CF" w:rsidP="00A67C4D">
      <w:pPr>
        <w:pStyle w:val="ParaNumbering"/>
        <w:keepNext/>
        <w:keepLines/>
      </w:pPr>
      <w:r>
        <w:lastRenderedPageBreak/>
        <w:t>T</w:t>
      </w:r>
      <w:r w:rsidR="009D1F1D">
        <w:t>he primary judge</w:t>
      </w:r>
      <w:r w:rsidR="00553254">
        <w:t xml:space="preserve"> </w:t>
      </w:r>
      <w:r w:rsidR="00011992">
        <w:t>concluded</w:t>
      </w:r>
      <w:r w:rsidR="00AB0B95">
        <w:t>,</w:t>
      </w:r>
      <w:r w:rsidR="00100593">
        <w:t xml:space="preserve"> </w:t>
      </w:r>
      <w:r w:rsidR="00AB0B95">
        <w:t xml:space="preserve">at J [73], </w:t>
      </w:r>
      <w:r w:rsidR="009D1F1D">
        <w:t xml:space="preserve">that regs 14 and 15 </w:t>
      </w:r>
      <w:r w:rsidR="0030020E">
        <w:t xml:space="preserve">are not to be understood to have </w:t>
      </w:r>
      <w:r w:rsidRPr="000C01CF">
        <w:t>applications that would subvert the exercise of jurisdiction under s 75(v) or s 39</w:t>
      </w:r>
      <w:proofErr w:type="gramStart"/>
      <w:r w:rsidRPr="000C01CF">
        <w:t>B(</w:t>
      </w:r>
      <w:proofErr w:type="gramEnd"/>
      <w:r w:rsidRPr="000C01CF">
        <w:t>1</w:t>
      </w:r>
      <w:r w:rsidR="00C340EC">
        <w:t>)</w:t>
      </w:r>
      <w:r w:rsidR="00323B4D">
        <w:t>,</w:t>
      </w:r>
      <w:r w:rsidR="002B0C37">
        <w:t xml:space="preserve"> </w:t>
      </w:r>
      <w:r w:rsidR="00C340EC">
        <w:t xml:space="preserve">and </w:t>
      </w:r>
      <w:r>
        <w:t>t</w:t>
      </w:r>
      <w:r w:rsidRPr="000C01CF">
        <w:t xml:space="preserve">he Regulations </w:t>
      </w:r>
      <w:r w:rsidR="0030020E">
        <w:t>are therefore</w:t>
      </w:r>
      <w:r w:rsidRPr="000C01CF">
        <w:t xml:space="preserve"> not invalid by reason of inconsistency with the constitutional entrenchment of that jurisdiction</w:t>
      </w:r>
      <w:r w:rsidR="00C340EC">
        <w:t xml:space="preserve">. </w:t>
      </w:r>
      <w:r w:rsidR="00F504ED">
        <w:t>His Honour</w:t>
      </w:r>
      <w:r w:rsidR="00AB0B95">
        <w:t xml:space="preserve"> s</w:t>
      </w:r>
      <w:r w:rsidR="00F504ED">
        <w:t>tated</w:t>
      </w:r>
      <w:r w:rsidR="00011992">
        <w:t xml:space="preserve"> </w:t>
      </w:r>
      <w:r w:rsidR="00AB0B95">
        <w:t>at J</w:t>
      </w:r>
      <w:r w:rsidR="0068343D">
        <w:t> </w:t>
      </w:r>
      <w:r w:rsidR="00AB0B95">
        <w:t>[74]</w:t>
      </w:r>
      <w:r w:rsidR="00663F47">
        <w:t>,</w:t>
      </w:r>
      <w:r w:rsidR="00AB0B95">
        <w:t xml:space="preserve"> </w:t>
      </w:r>
      <w:r w:rsidR="00C340EC">
        <w:t xml:space="preserve">that this meant that the Regulations do not prevent a </w:t>
      </w:r>
      <w:r w:rsidR="00061BA9">
        <w:t xml:space="preserve">designated </w:t>
      </w:r>
      <w:r w:rsidR="00C340EC">
        <w:t xml:space="preserve">person or entity from being represented (including paying for relevant professional services) </w:t>
      </w:r>
      <w:r w:rsidR="00F6425D">
        <w:t xml:space="preserve">in order </w:t>
      </w:r>
      <w:r w:rsidR="00C340EC">
        <w:t>to challenge that designation, or other things purportedly done under the Act, in proceedings commenced under s 75(v) or s 39</w:t>
      </w:r>
      <w:proofErr w:type="gramStart"/>
      <w:r w:rsidR="00C340EC">
        <w:t>B(</w:t>
      </w:r>
      <w:proofErr w:type="gramEnd"/>
      <w:r w:rsidR="00C340EC">
        <w:t>1).</w:t>
      </w:r>
      <w:r w:rsidR="0087607D">
        <w:t xml:space="preserve"> </w:t>
      </w:r>
      <w:r w:rsidR="00A02FBF">
        <w:t>His Honour</w:t>
      </w:r>
      <w:r w:rsidR="005E2B79">
        <w:t xml:space="preserve"> </w:t>
      </w:r>
      <w:r w:rsidR="007225AB">
        <w:t xml:space="preserve">added </w:t>
      </w:r>
      <w:r w:rsidR="005E2B79">
        <w:t>that the</w:t>
      </w:r>
      <w:r w:rsidR="005E2B79" w:rsidRPr="005E2B79">
        <w:t xml:space="preserve"> scope of the relevant exclusion may go further than </w:t>
      </w:r>
      <w:proofErr w:type="gramStart"/>
      <w:r w:rsidR="005E2B79" w:rsidRPr="005E2B79">
        <w:t>that</w:t>
      </w:r>
      <w:r w:rsidR="00452236">
        <w:t>, but</w:t>
      </w:r>
      <w:proofErr w:type="gramEnd"/>
      <w:r w:rsidR="00452236">
        <w:t xml:space="preserve"> considered that </w:t>
      </w:r>
      <w:r w:rsidR="00F6425D">
        <w:t xml:space="preserve">this </w:t>
      </w:r>
      <w:r w:rsidR="007225AB">
        <w:t xml:space="preserve">question </w:t>
      </w:r>
      <w:r w:rsidR="00F6425D">
        <w:t>did</w:t>
      </w:r>
      <w:r w:rsidR="00452236">
        <w:t xml:space="preserve"> </w:t>
      </w:r>
      <w:r w:rsidR="005E2B79" w:rsidRPr="005E2B79">
        <w:t>not need to be determined</w:t>
      </w:r>
      <w:r w:rsidR="007225AB">
        <w:t xml:space="preserve"> in the present case</w:t>
      </w:r>
      <w:r w:rsidR="005E2B79" w:rsidRPr="005E2B79">
        <w:t xml:space="preserve">, as the actual application of regs 14 and 15 </w:t>
      </w:r>
      <w:r w:rsidR="00452236">
        <w:t>was</w:t>
      </w:r>
      <w:r w:rsidR="005E2B79" w:rsidRPr="005E2B79">
        <w:t xml:space="preserve"> not in issue</w:t>
      </w:r>
      <w:r w:rsidR="00AB0B95">
        <w:t>: J [74]</w:t>
      </w:r>
      <w:r w:rsidR="005E2B79" w:rsidRPr="005E2B79">
        <w:t>.</w:t>
      </w:r>
    </w:p>
    <w:p w14:paraId="7F9C78ED" w14:textId="574E77E7" w:rsidR="004F50EA" w:rsidRPr="009F1E9F" w:rsidRDefault="004F50EA" w:rsidP="00CC30EC">
      <w:pPr>
        <w:pStyle w:val="Heading3"/>
      </w:pPr>
      <w:bookmarkStart w:id="37" w:name="_Ref193875045"/>
      <w:r w:rsidRPr="009F1E9F">
        <w:t>Federal jurisdiction</w:t>
      </w:r>
      <w:bookmarkEnd w:id="37"/>
    </w:p>
    <w:p w14:paraId="6C83736A" w14:textId="58D6B363" w:rsidR="00D878D7" w:rsidRDefault="00D878D7" w:rsidP="00F66DF7">
      <w:pPr>
        <w:pStyle w:val="ParaNumbering"/>
      </w:pPr>
      <w:r>
        <w:t xml:space="preserve">The </w:t>
      </w:r>
      <w:r w:rsidR="00C87981">
        <w:t>primary judge</w:t>
      </w:r>
      <w:r w:rsidR="00922979">
        <w:t xml:space="preserve"> </w:t>
      </w:r>
      <w:r w:rsidR="00C87981">
        <w:t xml:space="preserve">noted </w:t>
      </w:r>
      <w:r w:rsidR="00DE59F0">
        <w:t xml:space="preserve">at J [78] </w:t>
      </w:r>
      <w:r w:rsidR="00C87981">
        <w:t xml:space="preserve">that the </w:t>
      </w:r>
      <w:r>
        <w:t>appellant put a</w:t>
      </w:r>
      <w:r w:rsidR="001C03DC">
        <w:t xml:space="preserve"> further and much</w:t>
      </w:r>
      <w:r>
        <w:t xml:space="preserve"> broader argument </w:t>
      </w:r>
      <w:r w:rsidR="001C03DC">
        <w:t>relating to</w:t>
      </w:r>
      <w:r>
        <w:t xml:space="preserve"> invalidity arising from Ch III</w:t>
      </w:r>
      <w:r w:rsidR="009B5D6F">
        <w:t>, by reference to s</w:t>
      </w:r>
      <w:r w:rsidR="00C87981" w:rsidRPr="00C87981">
        <w:t xml:space="preserve">s 75, 76 and 77 of the </w:t>
      </w:r>
      <w:r w:rsidR="00C87981" w:rsidRPr="00C20FF2">
        <w:rPr>
          <w:i/>
          <w:iCs/>
        </w:rPr>
        <w:t>Constitution</w:t>
      </w:r>
      <w:r w:rsidR="009B5D6F">
        <w:t xml:space="preserve"> and the</w:t>
      </w:r>
      <w:r w:rsidR="00151011">
        <w:t xml:space="preserve"> right to obtain </w:t>
      </w:r>
      <w:r w:rsidR="00561078">
        <w:t>legal representation.</w:t>
      </w:r>
    </w:p>
    <w:p w14:paraId="0972AC8F" w14:textId="3FACB84E" w:rsidR="00CE4BB9" w:rsidRPr="006370A9" w:rsidRDefault="0000386A" w:rsidP="0000386A">
      <w:pPr>
        <w:pStyle w:val="ParaNumbering"/>
      </w:pPr>
      <w:r>
        <w:t xml:space="preserve">The primary judge did not accept the additional argument, in the broad terms put by the appellant, that legislation which compromises the exercise of federal jurisdiction, including by preventing a party from using its resources to obtain legal representation, was invalid: J [85]. His Honour </w:t>
      </w:r>
      <w:r w:rsidR="0042250C" w:rsidRPr="006370A9">
        <w:t>stated</w:t>
      </w:r>
      <w:r w:rsidR="0038545A" w:rsidRPr="006370A9">
        <w:t xml:space="preserve"> at </w:t>
      </w:r>
      <w:r w:rsidR="00F87751" w:rsidRPr="006370A9">
        <w:t xml:space="preserve">J </w:t>
      </w:r>
      <w:r w:rsidR="0038545A" w:rsidRPr="006370A9">
        <w:t>[87]</w:t>
      </w:r>
      <w:r w:rsidR="00D1757B">
        <w:t xml:space="preserve"> that</w:t>
      </w:r>
      <w:r w:rsidR="0038545A" w:rsidRPr="006370A9">
        <w:t>, in any event, the principles of construction previously discussed were also an answer to this argument</w:t>
      </w:r>
      <w:r w:rsidR="00A03687" w:rsidRPr="006370A9">
        <w:t xml:space="preserve">. </w:t>
      </w:r>
      <w:r w:rsidR="0027076C" w:rsidRPr="006370A9">
        <w:t xml:space="preserve">His Honour considered that the extent to which those </w:t>
      </w:r>
      <w:r w:rsidR="00AE0308" w:rsidRPr="006370A9">
        <w:t>principles</w:t>
      </w:r>
      <w:r w:rsidR="0027076C" w:rsidRPr="006370A9">
        <w:t xml:space="preserve"> require </w:t>
      </w:r>
      <w:r w:rsidR="00E71435" w:rsidRPr="006370A9">
        <w:t xml:space="preserve">the general expressions in </w:t>
      </w:r>
      <w:r w:rsidR="0027076C" w:rsidRPr="006370A9">
        <w:t>regs 14 and 15 to be confined in their denotation was directly related to the breadth of the relevant constitutional limitation</w:t>
      </w:r>
      <w:r w:rsidR="00A34700" w:rsidRPr="006370A9">
        <w:t xml:space="preserve">. </w:t>
      </w:r>
      <w:r w:rsidR="00ED6AF2">
        <w:t>H</w:t>
      </w:r>
      <w:r w:rsidR="0049702B">
        <w:t xml:space="preserve">is Honour considered, however, that </w:t>
      </w:r>
      <w:r w:rsidR="00540681">
        <w:t>it</w:t>
      </w:r>
      <w:r w:rsidR="0049702B">
        <w:t xml:space="preserve"> was neither necessary nor appropriate to </w:t>
      </w:r>
      <w:r w:rsidR="00540681">
        <w:t xml:space="preserve">answer that issue </w:t>
      </w:r>
      <w:r w:rsidR="00461508" w:rsidRPr="00087CA8">
        <w:t xml:space="preserve">because the </w:t>
      </w:r>
      <w:r w:rsidR="00831FC8">
        <w:t>appellant</w:t>
      </w:r>
      <w:r w:rsidR="00831FC8" w:rsidRPr="00087CA8">
        <w:t xml:space="preserve"> </w:t>
      </w:r>
      <w:r w:rsidR="006047C1" w:rsidRPr="00087CA8">
        <w:t>did not</w:t>
      </w:r>
      <w:r w:rsidR="00461508" w:rsidRPr="00087CA8">
        <w:t xml:space="preserve"> claim that the operation of the Regulations in relation to him breache</w:t>
      </w:r>
      <w:r w:rsidR="00FA033A" w:rsidRPr="00087CA8">
        <w:t>d</w:t>
      </w:r>
      <w:r w:rsidR="00461508" w:rsidRPr="00087CA8">
        <w:t xml:space="preserve"> any constitutional limit</w:t>
      </w:r>
      <w:r w:rsidR="00461508" w:rsidRPr="006370A9">
        <w:t>.</w:t>
      </w:r>
    </w:p>
    <w:p w14:paraId="694E91A6" w14:textId="7D08DDD0" w:rsidR="005807D8" w:rsidRPr="001D345B" w:rsidRDefault="00543A6A" w:rsidP="00CC30EC">
      <w:pPr>
        <w:pStyle w:val="Heading3"/>
      </w:pPr>
      <w:bookmarkStart w:id="38" w:name="_Ref193875046"/>
      <w:r w:rsidRPr="00E95AFA">
        <w:t xml:space="preserve">Judicial </w:t>
      </w:r>
      <w:r w:rsidR="006839E1">
        <w:t>r</w:t>
      </w:r>
      <w:r w:rsidRPr="00E95AFA">
        <w:t>eview grounds</w:t>
      </w:r>
      <w:bookmarkEnd w:id="38"/>
    </w:p>
    <w:p w14:paraId="07FC9C34" w14:textId="41CA804B" w:rsidR="005807D8" w:rsidRDefault="007F1B69" w:rsidP="00EB4347">
      <w:pPr>
        <w:pStyle w:val="ParaNumbering"/>
      </w:pPr>
      <w:bookmarkStart w:id="39" w:name="_Ref191817661"/>
      <w:r>
        <w:t xml:space="preserve">Before the primary judge, the appellant submitted that the </w:t>
      </w:r>
      <w:r w:rsidR="00A36B83">
        <w:t>then</w:t>
      </w:r>
      <w:r w:rsidR="008268CD">
        <w:t xml:space="preserve"> </w:t>
      </w:r>
      <w:r>
        <w:t>Minister misunderstood the nature of the power she was exercising</w:t>
      </w:r>
      <w:r w:rsidR="00EF1A2A">
        <w:t xml:space="preserve">. </w:t>
      </w:r>
      <w:r w:rsidR="00EF1A2A" w:rsidDel="00EB4347">
        <w:t xml:space="preserve">In describing the Minister’s decision to designate and declare the appellant, it is important to bear in mind that the decision was made by the then Minister, Ms Marise </w:t>
      </w:r>
      <w:r w:rsidR="00EF1A2A" w:rsidRPr="00EA14A1" w:rsidDel="00EB4347">
        <w:rPr>
          <w:b/>
          <w:bCs/>
        </w:rPr>
        <w:t>Payne</w:t>
      </w:r>
      <w:r w:rsidR="00C91EE1" w:rsidDel="00EB4347">
        <w:t>, who was not called to give evidence at the hearing.</w:t>
      </w:r>
      <w:r w:rsidR="005951DE">
        <w:t xml:space="preserve"> </w:t>
      </w:r>
      <w:r w:rsidR="00C91EE1">
        <w:t>The appellant</w:t>
      </w:r>
      <w:r>
        <w:t xml:space="preserve"> </w:t>
      </w:r>
      <w:r w:rsidR="004665EB">
        <w:t>made two arguments</w:t>
      </w:r>
      <w:r w:rsidR="009357B9">
        <w:t>:</w:t>
      </w:r>
      <w:bookmarkEnd w:id="39"/>
    </w:p>
    <w:p w14:paraId="0C1D8F5B" w14:textId="4E702AC6" w:rsidR="009357B9" w:rsidRDefault="004665EB" w:rsidP="00F5476F">
      <w:pPr>
        <w:pStyle w:val="ListNo1alt"/>
        <w:numPr>
          <w:ilvl w:val="0"/>
          <w:numId w:val="32"/>
        </w:numPr>
      </w:pPr>
      <w:r>
        <w:lastRenderedPageBreak/>
        <w:t xml:space="preserve">first, </w:t>
      </w:r>
      <w:r w:rsidR="007A7FEA">
        <w:t xml:space="preserve">the Minister </w:t>
      </w:r>
      <w:r w:rsidR="007A7FEA" w:rsidRPr="007A7FEA">
        <w:t xml:space="preserve">did not realise that she had a discretion at all; that is, she proceeded on the basis that, if satisfied that the </w:t>
      </w:r>
      <w:r w:rsidR="00C672FC">
        <w:t>appellant</w:t>
      </w:r>
      <w:r w:rsidR="007A7FEA" w:rsidRPr="007A7FEA">
        <w:t xml:space="preserve"> met the criteria, she was required to designate and declare him under reg 6</w:t>
      </w:r>
      <w:r w:rsidR="00220000">
        <w:t xml:space="preserve"> (</w:t>
      </w:r>
      <w:r w:rsidR="000B5F0A">
        <w:t xml:space="preserve">the </w:t>
      </w:r>
      <w:r w:rsidR="00220000" w:rsidRPr="007A7FEA">
        <w:rPr>
          <w:b/>
          <w:bCs/>
        </w:rPr>
        <w:t>broader argument</w:t>
      </w:r>
      <w:r w:rsidR="00A577A2">
        <w:t xml:space="preserve">); </w:t>
      </w:r>
      <w:r w:rsidR="007A7FEA">
        <w:t>and</w:t>
      </w:r>
    </w:p>
    <w:p w14:paraId="3AEC54B6" w14:textId="7E2C1E50" w:rsidR="007A7FEA" w:rsidRDefault="004665EB" w:rsidP="00F5476F">
      <w:pPr>
        <w:pStyle w:val="ListNo1alt"/>
        <w:numPr>
          <w:ilvl w:val="0"/>
          <w:numId w:val="32"/>
        </w:numPr>
      </w:pPr>
      <w:r>
        <w:t xml:space="preserve">alternatively, </w:t>
      </w:r>
      <w:r w:rsidR="001B664C" w:rsidRPr="001B664C">
        <w:t>the Minister did not appreciate that she had power to take one or other of the measures authorised by reg 6; that is, she proceeded on the understanding that her choices were limited to taking both or neither</w:t>
      </w:r>
      <w:r w:rsidR="001B664C">
        <w:t xml:space="preserve"> </w:t>
      </w:r>
      <w:r w:rsidR="00220000">
        <w:t>(</w:t>
      </w:r>
      <w:r w:rsidR="000B5F0A">
        <w:t xml:space="preserve">the </w:t>
      </w:r>
      <w:r w:rsidR="00220000" w:rsidRPr="007A7FEA">
        <w:rPr>
          <w:b/>
          <w:bCs/>
        </w:rPr>
        <w:t>narrower argument</w:t>
      </w:r>
      <w:r w:rsidR="00A577A2">
        <w:t>).</w:t>
      </w:r>
    </w:p>
    <w:p w14:paraId="176CAADA" w14:textId="36114C8D" w:rsidR="00197B42" w:rsidRDefault="000E6E30" w:rsidP="005A4F2E">
      <w:pPr>
        <w:pStyle w:val="ParaNumbering"/>
      </w:pPr>
      <w:r>
        <w:t>Before turning to the substance of the two arguments, the primary judge note</w:t>
      </w:r>
      <w:r w:rsidR="00E732FD">
        <w:t xml:space="preserve">d, </w:t>
      </w:r>
      <w:r w:rsidR="00F50DCD">
        <w:t xml:space="preserve">at </w:t>
      </w:r>
      <w:r w:rsidR="00F50DCD" w:rsidRPr="00F50DCD">
        <w:t>J</w:t>
      </w:r>
      <w:r w:rsidR="004B496E">
        <w:t> </w:t>
      </w:r>
      <w:r w:rsidR="00F50DCD">
        <w:t>[126], that it was comm</w:t>
      </w:r>
      <w:r w:rsidR="0057201E">
        <w:t xml:space="preserve">on ground that the Minister was not under any obligation to give reasons for her decision </w:t>
      </w:r>
      <w:r w:rsidR="00A016E8">
        <w:t>and had not provided a statement of reason</w:t>
      </w:r>
      <w:r w:rsidR="00084412">
        <w:t>s</w:t>
      </w:r>
      <w:r w:rsidR="00A016E8">
        <w:t xml:space="preserve">. </w:t>
      </w:r>
      <w:r w:rsidR="004A6379">
        <w:t>It</w:t>
      </w:r>
      <w:r w:rsidR="00E732FD">
        <w:t xml:space="preserve"> was </w:t>
      </w:r>
      <w:r w:rsidR="00A47952">
        <w:t xml:space="preserve">also </w:t>
      </w:r>
      <w:r w:rsidR="00E732FD">
        <w:t>uncontroversial that the appellant bore the onus of proving that the alleged</w:t>
      </w:r>
      <w:r w:rsidR="00FD544D">
        <w:t xml:space="preserve"> error occurred</w:t>
      </w:r>
      <w:r w:rsidR="004A6379">
        <w:t>: J [127]</w:t>
      </w:r>
      <w:r w:rsidR="00DA6B28">
        <w:t xml:space="preserve">. </w:t>
      </w:r>
      <w:r w:rsidR="00D74A84">
        <w:t>Relatedly</w:t>
      </w:r>
      <w:r w:rsidR="00120A97">
        <w:t>,</w:t>
      </w:r>
      <w:r w:rsidR="00F42948">
        <w:t xml:space="preserve"> the appellant submitted that an inference that the Minister proceeded on a wrong understanding could more comfortably be drawn </w:t>
      </w:r>
      <w:r w:rsidR="005858EF">
        <w:t>because</w:t>
      </w:r>
      <w:r w:rsidR="00F42948">
        <w:t xml:space="preserve"> </w:t>
      </w:r>
      <w:r w:rsidR="007B705E">
        <w:t>Ms Payne</w:t>
      </w:r>
      <w:r w:rsidR="00F42948">
        <w:t xml:space="preserve"> </w:t>
      </w:r>
      <w:r w:rsidR="005858EF">
        <w:t>had not</w:t>
      </w:r>
      <w:r w:rsidR="00F42948">
        <w:t xml:space="preserve"> been called to give evidence, citing </w:t>
      </w:r>
      <w:r w:rsidR="00F42948" w:rsidRPr="00276A43">
        <w:rPr>
          <w:i/>
          <w:iCs/>
        </w:rPr>
        <w:t>Jones v Dunkel</w:t>
      </w:r>
      <w:r w:rsidR="00F42948" w:rsidRPr="0083283B">
        <w:rPr>
          <w:i/>
          <w:iCs/>
        </w:rPr>
        <w:t xml:space="preserve"> </w:t>
      </w:r>
      <w:r w:rsidR="00F42948" w:rsidRPr="0083283B">
        <w:t>(1959) 101 CLR 298</w:t>
      </w:r>
      <w:r w:rsidR="00702FC7">
        <w:t>; [1959] HCA 8</w:t>
      </w:r>
      <w:r w:rsidR="00F42948">
        <w:t>.</w:t>
      </w:r>
    </w:p>
    <w:p w14:paraId="29D34D55" w14:textId="60274BEB" w:rsidR="00DA6BD4" w:rsidRPr="005066A7" w:rsidRDefault="00197B42" w:rsidP="00027602">
      <w:pPr>
        <w:pStyle w:val="ParaNumbering"/>
      </w:pPr>
      <w:r w:rsidRPr="005066A7">
        <w:t xml:space="preserve">The primary judge </w:t>
      </w:r>
      <w:r w:rsidR="002E499E" w:rsidRPr="005066A7">
        <w:t xml:space="preserve">noted </w:t>
      </w:r>
      <w:r w:rsidR="00925173" w:rsidRPr="005066A7">
        <w:t>at J [129]</w:t>
      </w:r>
      <w:r w:rsidR="00371646" w:rsidRPr="005066A7">
        <w:t>,</w:t>
      </w:r>
      <w:r w:rsidR="00925173" w:rsidRPr="005066A7">
        <w:t xml:space="preserve"> </w:t>
      </w:r>
      <w:r w:rsidR="00F868D2" w:rsidRPr="005066A7">
        <w:t xml:space="preserve">that there </w:t>
      </w:r>
      <w:r w:rsidR="00750124" w:rsidRPr="005066A7">
        <w:t>is no</w:t>
      </w:r>
      <w:r w:rsidR="00F868D2" w:rsidRPr="005066A7">
        <w:t xml:space="preserve"> hard and fast rule concerning the application of </w:t>
      </w:r>
      <w:r w:rsidR="00F868D2" w:rsidRPr="005066A7">
        <w:rPr>
          <w:i/>
          <w:iCs/>
        </w:rPr>
        <w:t>Jones</w:t>
      </w:r>
      <w:r w:rsidR="00EB3F87" w:rsidRPr="005066A7">
        <w:rPr>
          <w:i/>
          <w:iCs/>
        </w:rPr>
        <w:t> </w:t>
      </w:r>
      <w:r w:rsidR="00F868D2" w:rsidRPr="005066A7">
        <w:rPr>
          <w:i/>
          <w:iCs/>
        </w:rPr>
        <w:t>v</w:t>
      </w:r>
      <w:r w:rsidR="00EB3F87" w:rsidRPr="005066A7">
        <w:rPr>
          <w:i/>
          <w:iCs/>
        </w:rPr>
        <w:t> </w:t>
      </w:r>
      <w:r w:rsidR="00F868D2" w:rsidRPr="005066A7">
        <w:rPr>
          <w:i/>
          <w:iCs/>
        </w:rPr>
        <w:t xml:space="preserve">Dunkel </w:t>
      </w:r>
      <w:r w:rsidR="00F868D2" w:rsidRPr="005066A7">
        <w:t xml:space="preserve">to evidence that might be given personally by a </w:t>
      </w:r>
      <w:r w:rsidR="00EB3F87" w:rsidRPr="005066A7">
        <w:t>M</w:t>
      </w:r>
      <w:r w:rsidR="00F868D2" w:rsidRPr="005066A7">
        <w:t xml:space="preserve">inister and the strength with which the principle applies must depend on the circumstances of the case. </w:t>
      </w:r>
      <w:r w:rsidR="004038D2" w:rsidRPr="005066A7">
        <w:t>His Honour</w:t>
      </w:r>
      <w:r w:rsidR="00AE1013" w:rsidRPr="005066A7">
        <w:t xml:space="preserve"> </w:t>
      </w:r>
      <w:r w:rsidR="00E3605B" w:rsidRPr="005066A7">
        <w:t>considered</w:t>
      </w:r>
      <w:r w:rsidR="004038D2" w:rsidRPr="005066A7">
        <w:t xml:space="preserve"> </w:t>
      </w:r>
      <w:r w:rsidR="009A1094" w:rsidRPr="005066A7">
        <w:t xml:space="preserve">that </w:t>
      </w:r>
      <w:r w:rsidR="004038D2" w:rsidRPr="005066A7">
        <w:t xml:space="preserve">the prospects of </w:t>
      </w:r>
      <w:r w:rsidR="005951DE">
        <w:t>Ms Payne</w:t>
      </w:r>
      <w:r w:rsidR="004038D2" w:rsidRPr="005066A7">
        <w:t xml:space="preserve"> having any independent recollection of her reasoning process in relation to the appellant were not strong and there was no convincing basis for any inference that the failure to call </w:t>
      </w:r>
      <w:r w:rsidR="00D17B3E">
        <w:t>her</w:t>
      </w:r>
      <w:r w:rsidR="004038D2" w:rsidRPr="005066A7">
        <w:t xml:space="preserve"> as a witness mean</w:t>
      </w:r>
      <w:r w:rsidR="00912BEF" w:rsidRPr="005066A7">
        <w:t>t</w:t>
      </w:r>
      <w:r w:rsidR="004038D2" w:rsidRPr="005066A7">
        <w:t xml:space="preserve"> anything</w:t>
      </w:r>
      <w:r w:rsidR="00E3605B" w:rsidRPr="005066A7">
        <w:t>: J [129]</w:t>
      </w:r>
      <w:r w:rsidR="004038D2" w:rsidRPr="005066A7">
        <w:t>. Further</w:t>
      </w:r>
      <w:r w:rsidR="009A1094" w:rsidRPr="005066A7">
        <w:t>more</w:t>
      </w:r>
      <w:r w:rsidR="004038D2" w:rsidRPr="005066A7">
        <w:t>,</w:t>
      </w:r>
      <w:r w:rsidR="00E3605B" w:rsidRPr="005066A7">
        <w:t xml:space="preserve"> his Honour </w:t>
      </w:r>
      <w:r w:rsidR="0075761C" w:rsidRPr="005066A7">
        <w:t>considered</w:t>
      </w:r>
      <w:r w:rsidR="004038D2" w:rsidRPr="005066A7">
        <w:t xml:space="preserve"> </w:t>
      </w:r>
      <w:r w:rsidR="00F774C3" w:rsidRPr="005066A7">
        <w:t xml:space="preserve">that </w:t>
      </w:r>
      <w:r w:rsidR="00D17B3E">
        <w:t>Ms Payne</w:t>
      </w:r>
      <w:r w:rsidR="00CD6F5C" w:rsidRPr="005066A7">
        <w:t xml:space="preserve"> was not a person whom the Minister, rather than the appellant, would be expected to call: </w:t>
      </w:r>
      <w:r w:rsidR="00BD3735" w:rsidRPr="005066A7">
        <w:rPr>
          <w:b/>
          <w:bCs/>
          <w:i/>
          <w:iCs/>
        </w:rPr>
        <w:t>Director, Fa</w:t>
      </w:r>
      <w:r w:rsidR="004564C2" w:rsidRPr="005066A7">
        <w:rPr>
          <w:b/>
          <w:bCs/>
          <w:i/>
          <w:iCs/>
        </w:rPr>
        <w:t>i</w:t>
      </w:r>
      <w:r w:rsidR="00BD3735" w:rsidRPr="005066A7">
        <w:rPr>
          <w:b/>
          <w:bCs/>
          <w:i/>
          <w:iCs/>
        </w:rPr>
        <w:t>r Work</w:t>
      </w:r>
      <w:r w:rsidR="00BD3735" w:rsidRPr="005066A7">
        <w:rPr>
          <w:i/>
          <w:iCs/>
        </w:rPr>
        <w:t xml:space="preserve"> Building Industry Inspectorate v Construction, Forestry, Mining and Energy Union </w:t>
      </w:r>
      <w:r w:rsidR="00E27593" w:rsidRPr="00087CA8">
        <w:t xml:space="preserve">(2013) 209 FCR 297; </w:t>
      </w:r>
      <w:r w:rsidR="00BD3735" w:rsidRPr="005066A7">
        <w:t xml:space="preserve">[2013] FCAFC </w:t>
      </w:r>
      <w:r w:rsidR="00FA3357" w:rsidRPr="00087CA8">
        <w:t>34</w:t>
      </w:r>
      <w:r w:rsidR="00BD3735" w:rsidRPr="005066A7">
        <w:t xml:space="preserve"> at [102]</w:t>
      </w:r>
      <w:r w:rsidR="00027602" w:rsidRPr="005066A7">
        <w:t>–</w:t>
      </w:r>
      <w:r w:rsidR="00BD3735" w:rsidRPr="005066A7">
        <w:t>[103] (Besanko and Perram JJ, Bromberg J agreeing at [136]</w:t>
      </w:r>
      <w:r w:rsidR="004564C2" w:rsidRPr="005066A7">
        <w:t>)</w:t>
      </w:r>
      <w:r w:rsidR="00E3605B" w:rsidRPr="005066A7">
        <w:t>: J [130]</w:t>
      </w:r>
      <w:r w:rsidR="004564C2" w:rsidRPr="005066A7">
        <w:t>.</w:t>
      </w:r>
    </w:p>
    <w:p w14:paraId="6D9B4561" w14:textId="720ADD44" w:rsidR="00CE6382" w:rsidRDefault="00CE6382" w:rsidP="00CE6382">
      <w:pPr>
        <w:pStyle w:val="Heading4"/>
      </w:pPr>
      <w:bookmarkStart w:id="40" w:name="_Ref193875047"/>
      <w:r>
        <w:t>The broader argument</w:t>
      </w:r>
      <w:bookmarkEnd w:id="40"/>
    </w:p>
    <w:p w14:paraId="6BF09E1D" w14:textId="49CED4D0" w:rsidR="009357B9" w:rsidRDefault="0003502E" w:rsidP="00461508">
      <w:pPr>
        <w:pStyle w:val="ParaNumbering"/>
      </w:pPr>
      <w:r>
        <w:t xml:space="preserve">The </w:t>
      </w:r>
      <w:r w:rsidR="00CE6382">
        <w:t>primary judge</w:t>
      </w:r>
      <w:r w:rsidR="00B64E14">
        <w:t>,</w:t>
      </w:r>
      <w:r w:rsidR="00660203">
        <w:t xml:space="preserve"> </w:t>
      </w:r>
      <w:r w:rsidR="00B64E14">
        <w:t xml:space="preserve">at J [145], </w:t>
      </w:r>
      <w:r w:rsidR="00040227">
        <w:t>rejected the</w:t>
      </w:r>
      <w:r w:rsidR="00BD3E71">
        <w:t xml:space="preserve"> appellant’s</w:t>
      </w:r>
      <w:r w:rsidR="00040227">
        <w:t xml:space="preserve"> broader argument</w:t>
      </w:r>
      <w:r w:rsidR="00816DB0">
        <w:t>.</w:t>
      </w:r>
    </w:p>
    <w:p w14:paraId="07D2AA4A" w14:textId="5832804E" w:rsidR="00F97B4C" w:rsidRPr="005066A7" w:rsidRDefault="0098173A" w:rsidP="0092717C">
      <w:pPr>
        <w:pStyle w:val="ParaNumbering"/>
      </w:pPr>
      <w:r w:rsidRPr="005066A7">
        <w:t>The</w:t>
      </w:r>
      <w:r w:rsidR="00876F3E" w:rsidRPr="005066A7">
        <w:t xml:space="preserve"> primary judge </w:t>
      </w:r>
      <w:r w:rsidR="007E3115" w:rsidRPr="005066A7">
        <w:t>noted</w:t>
      </w:r>
      <w:r w:rsidR="00253B05" w:rsidRPr="005066A7">
        <w:t xml:space="preserve">, at J [131], </w:t>
      </w:r>
      <w:r w:rsidR="00876F3E" w:rsidRPr="005066A7">
        <w:t xml:space="preserve">that </w:t>
      </w:r>
      <w:r w:rsidR="00DC4B07" w:rsidRPr="005066A7">
        <w:t xml:space="preserve">the </w:t>
      </w:r>
      <w:r w:rsidR="00D37EBB" w:rsidRPr="005066A7">
        <w:t xml:space="preserve">only direct evidence of the Minister’s thought process </w:t>
      </w:r>
      <w:r w:rsidR="00876F3E" w:rsidRPr="005066A7">
        <w:t>was</w:t>
      </w:r>
      <w:r w:rsidR="00D37EBB" w:rsidRPr="005066A7">
        <w:t xml:space="preserve"> the </w:t>
      </w:r>
      <w:r w:rsidR="009E561F">
        <w:t xml:space="preserve">draft </w:t>
      </w:r>
      <w:r w:rsidR="00D37EBB" w:rsidRPr="005066A7">
        <w:rPr>
          <w:b/>
          <w:bCs/>
        </w:rPr>
        <w:t>Explanatory Statement</w:t>
      </w:r>
      <w:r w:rsidR="00D37EBB" w:rsidRPr="005066A7">
        <w:t xml:space="preserve"> for the Amending Instrument (</w:t>
      </w:r>
      <w:r w:rsidR="0095002A">
        <w:t xml:space="preserve">Explanatory Statement, </w:t>
      </w:r>
      <w:r w:rsidR="00D5580F" w:rsidRPr="005066A7">
        <w:rPr>
          <w:i/>
          <w:iCs/>
        </w:rPr>
        <w:t>A</w:t>
      </w:r>
      <w:r w:rsidR="00D37EBB" w:rsidRPr="00087CA8">
        <w:rPr>
          <w:i/>
          <w:iCs/>
        </w:rPr>
        <w:t>utonomous</w:t>
      </w:r>
      <w:r w:rsidR="00D37EBB" w:rsidRPr="005066A7">
        <w:t xml:space="preserve"> </w:t>
      </w:r>
      <w:r w:rsidR="00D37EBB" w:rsidRPr="00087CA8">
        <w:rPr>
          <w:i/>
          <w:iCs/>
        </w:rPr>
        <w:t>Sanctions (Designated Persons and Entities and Declared Persons – Russia and Ukraine) Amendment (No 7) Instrument 2022</w:t>
      </w:r>
      <w:r w:rsidR="00D37EBB" w:rsidRPr="005066A7">
        <w:t xml:space="preserve"> (Cth)). </w:t>
      </w:r>
      <w:r w:rsidR="001F0E8E" w:rsidRPr="005066A7">
        <w:t xml:space="preserve">After </w:t>
      </w:r>
      <w:r w:rsidR="007E3115" w:rsidRPr="005066A7">
        <w:t>observing</w:t>
      </w:r>
      <w:r w:rsidR="001F0E8E" w:rsidRPr="005066A7">
        <w:t xml:space="preserve"> </w:t>
      </w:r>
      <w:r w:rsidR="00F6021F" w:rsidRPr="005066A7">
        <w:t xml:space="preserve">that </w:t>
      </w:r>
      <w:r w:rsidR="00BD3E71" w:rsidRPr="005066A7">
        <w:t xml:space="preserve">the Minister </w:t>
      </w:r>
      <w:r w:rsidR="008241D6" w:rsidRPr="005066A7">
        <w:t xml:space="preserve">had </w:t>
      </w:r>
      <w:r w:rsidR="00BD3E71" w:rsidRPr="005066A7">
        <w:t>approved the text and must therefore be taken to have been comfortable with its contents</w:t>
      </w:r>
      <w:r w:rsidR="001F0E8E" w:rsidRPr="005066A7">
        <w:t>,</w:t>
      </w:r>
      <w:r w:rsidR="00BD3E71" w:rsidRPr="005066A7">
        <w:t xml:space="preserve"> </w:t>
      </w:r>
      <w:r w:rsidR="001F0E8E" w:rsidRPr="005066A7">
        <w:t>h</w:t>
      </w:r>
      <w:r w:rsidR="008241D6" w:rsidRPr="005066A7">
        <w:t>is Honour</w:t>
      </w:r>
      <w:r w:rsidR="00AE5F3E" w:rsidRPr="005066A7">
        <w:t xml:space="preserve"> </w:t>
      </w:r>
      <w:r w:rsidR="0048393C" w:rsidRPr="005066A7">
        <w:t>stated</w:t>
      </w:r>
      <w:r w:rsidR="00AE5F3E" w:rsidRPr="005066A7">
        <w:t xml:space="preserve"> that the </w:t>
      </w:r>
      <w:r w:rsidR="00BD3E71" w:rsidRPr="005066A7">
        <w:t xml:space="preserve">Explanatory Statement </w:t>
      </w:r>
      <w:r w:rsidR="008D212C" w:rsidRPr="005066A7">
        <w:t>did</w:t>
      </w:r>
      <w:r w:rsidR="00BD3E71" w:rsidRPr="005066A7">
        <w:t xml:space="preserve"> not give any indication that the </w:t>
      </w:r>
      <w:r w:rsidR="00BD3E71" w:rsidRPr="005066A7">
        <w:lastRenderedPageBreak/>
        <w:t>Minister regarded designation and/or declaration under reg 6 as flowing automatically from a conclusion that the applicant met the criteria in item 6A of that regulation</w:t>
      </w:r>
      <w:r w:rsidR="007B65AB" w:rsidRPr="005066A7">
        <w:t>:</w:t>
      </w:r>
      <w:r w:rsidR="001B3035" w:rsidRPr="005066A7">
        <w:t> </w:t>
      </w:r>
      <w:r w:rsidR="007B65AB" w:rsidRPr="005066A7">
        <w:t>J [131]</w:t>
      </w:r>
      <w:r w:rsidR="005A0F9A" w:rsidRPr="005066A7">
        <w:t xml:space="preserve">. </w:t>
      </w:r>
      <w:r w:rsidR="00C22E90" w:rsidRPr="005066A7">
        <w:t xml:space="preserve">Rather, </w:t>
      </w:r>
      <w:r w:rsidR="005202E2" w:rsidRPr="005066A7">
        <w:t xml:space="preserve">his Honour continued, </w:t>
      </w:r>
      <w:r w:rsidR="00C22E90" w:rsidRPr="005066A7">
        <w:t xml:space="preserve">the Explanatory </w:t>
      </w:r>
      <w:r w:rsidR="008D212C" w:rsidRPr="005066A7">
        <w:t>Statement</w:t>
      </w:r>
      <w:r w:rsidR="00BD3E71" w:rsidRPr="005066A7">
        <w:t xml:space="preserve"> provide</w:t>
      </w:r>
      <w:r w:rsidR="000A6C37" w:rsidRPr="005066A7">
        <w:t>d</w:t>
      </w:r>
      <w:r w:rsidR="00BD3E71" w:rsidRPr="005066A7">
        <w:t xml:space="preserve"> an indication to the contrary</w:t>
      </w:r>
      <w:r w:rsidR="00EF6E2E" w:rsidRPr="005066A7">
        <w:t xml:space="preserve">, </w:t>
      </w:r>
      <w:r w:rsidR="000726AB" w:rsidRPr="005066A7">
        <w:t xml:space="preserve">in </w:t>
      </w:r>
      <w:r w:rsidR="005202E2" w:rsidRPr="005066A7">
        <w:t>stating</w:t>
      </w:r>
      <w:r w:rsidR="00EF6E2E" w:rsidRPr="005066A7">
        <w:t xml:space="preserve"> that reg 6 “enables” the Minister to “designate … and/or declare” a person. His Honour </w:t>
      </w:r>
      <w:r w:rsidR="005A535E" w:rsidRPr="005066A7">
        <w:t>held that this</w:t>
      </w:r>
      <w:r w:rsidR="000726AB" w:rsidRPr="005066A7">
        <w:t xml:space="preserve"> </w:t>
      </w:r>
      <w:r w:rsidR="000A6C37" w:rsidRPr="005066A7">
        <w:t>framing of the power that was being exercised</w:t>
      </w:r>
      <w:r w:rsidR="00EF6E2E" w:rsidRPr="005066A7">
        <w:t xml:space="preserve"> </w:t>
      </w:r>
      <w:r w:rsidR="000A6C37" w:rsidRPr="005066A7">
        <w:t>properly reflected the discretionary element of the power</w:t>
      </w:r>
      <w:r w:rsidR="00EF6E2E" w:rsidRPr="005066A7">
        <w:t xml:space="preserve">: </w:t>
      </w:r>
      <w:r w:rsidR="000A6C37" w:rsidRPr="005066A7">
        <w:t>J [132].</w:t>
      </w:r>
    </w:p>
    <w:p w14:paraId="78578617" w14:textId="32072E36" w:rsidR="00F6021F" w:rsidRDefault="00285A47" w:rsidP="00D77431">
      <w:pPr>
        <w:pStyle w:val="ParaNumbering"/>
      </w:pPr>
      <w:r>
        <w:t>T</w:t>
      </w:r>
      <w:r w:rsidR="00816DB0">
        <w:t>he</w:t>
      </w:r>
      <w:r w:rsidR="009F5197">
        <w:t xml:space="preserve"> primary judge </w:t>
      </w:r>
      <w:r w:rsidR="00D61052">
        <w:t>stated</w:t>
      </w:r>
      <w:r w:rsidR="00767B24">
        <w:t xml:space="preserve"> at J [13</w:t>
      </w:r>
      <w:r w:rsidR="00344B99">
        <w:t>4</w:t>
      </w:r>
      <w:r w:rsidR="00767B24">
        <w:t>]</w:t>
      </w:r>
      <w:r w:rsidR="00344B99">
        <w:t>,</w:t>
      </w:r>
      <w:r w:rsidR="00767B24">
        <w:t xml:space="preserve"> that </w:t>
      </w:r>
      <w:r w:rsidR="00954B28">
        <w:t>inferences</w:t>
      </w:r>
      <w:r w:rsidR="00954B28" w:rsidRPr="00954B28">
        <w:t xml:space="preserve"> about a decision-maker’s reasoning process may properly be drawn from the briefing material that the decision-maker was give</w:t>
      </w:r>
      <w:r w:rsidR="00344B99">
        <w:t>n</w:t>
      </w:r>
      <w:r w:rsidR="000708D3">
        <w:t xml:space="preserve">. </w:t>
      </w:r>
      <w:r w:rsidR="00684C5D">
        <w:t xml:space="preserve">The appellant had submitted that the terms of the </w:t>
      </w:r>
      <w:r w:rsidR="00F46F86">
        <w:t>“</w:t>
      </w:r>
      <w:r w:rsidR="00684C5D">
        <w:t>Recommendation</w:t>
      </w:r>
      <w:r w:rsidR="00F46F86">
        <w:t>”</w:t>
      </w:r>
      <w:r w:rsidR="00684C5D">
        <w:t xml:space="preserve"> contained in the Ministerial Submission </w:t>
      </w:r>
      <w:r w:rsidR="004A6DA6">
        <w:t xml:space="preserve">would have set the Minister on the wrong path, by indicating that she would necessarily designate and declare the appellant if satisfied he met the criteria in reg 6. </w:t>
      </w:r>
      <w:r w:rsidR="00752DDC">
        <w:t xml:space="preserve">His Honour considered that it was </w:t>
      </w:r>
      <w:r w:rsidR="00EF5B7B">
        <w:t xml:space="preserve">necessary to consider what “impression” the briefing material would have conveyed </w:t>
      </w:r>
      <w:r w:rsidR="00FD4369">
        <w:t xml:space="preserve">to the Minister, being a busy decision maker: J [136]. </w:t>
      </w:r>
      <w:r w:rsidR="000C7387">
        <w:t xml:space="preserve">After </w:t>
      </w:r>
      <w:r w:rsidR="00412DB2">
        <w:t>referring to certain passages</w:t>
      </w:r>
      <w:r w:rsidR="000C7387">
        <w:t xml:space="preserve">, </w:t>
      </w:r>
      <w:r w:rsidR="00A34FC0">
        <w:t>h</w:t>
      </w:r>
      <w:r w:rsidR="00DC3621">
        <w:t>is Honour held that the briefing included in the Ministerial Submission was apt to convey to the Minister that, if satisfied that the appellant met the criteria, she had a choice to make as to whether to impose sanctions on him: J </w:t>
      </w:r>
      <w:r w:rsidR="00D77431">
        <w:t>[140]</w:t>
      </w:r>
      <w:r w:rsidR="00F841DE">
        <w:t>.</w:t>
      </w:r>
    </w:p>
    <w:p w14:paraId="3CC3CFFE" w14:textId="034D5BE3" w:rsidR="00CE6382" w:rsidRDefault="00CE6382" w:rsidP="00CE6382">
      <w:pPr>
        <w:pStyle w:val="Heading4"/>
      </w:pPr>
      <w:bookmarkStart w:id="41" w:name="_Ref193875048"/>
      <w:r>
        <w:t>The narrower argument</w:t>
      </w:r>
      <w:bookmarkEnd w:id="41"/>
    </w:p>
    <w:p w14:paraId="2DFF4C0D" w14:textId="16574519" w:rsidR="00040227" w:rsidRDefault="00040227" w:rsidP="00D9501E">
      <w:pPr>
        <w:pStyle w:val="ParaNumbering"/>
      </w:pPr>
      <w:r>
        <w:t>The primary judge</w:t>
      </w:r>
      <w:r w:rsidR="00197DD1">
        <w:t xml:space="preserve">, at </w:t>
      </w:r>
      <w:r w:rsidR="00452999">
        <w:t>J</w:t>
      </w:r>
      <w:r>
        <w:t xml:space="preserve"> [157]</w:t>
      </w:r>
      <w:r w:rsidR="00197DD1">
        <w:t>,</w:t>
      </w:r>
      <w:r>
        <w:t xml:space="preserve"> </w:t>
      </w:r>
      <w:r w:rsidR="00DD7C19">
        <w:t xml:space="preserve">also </w:t>
      </w:r>
      <w:r>
        <w:t xml:space="preserve">rejected the </w:t>
      </w:r>
      <w:r w:rsidR="00BD3E71">
        <w:t xml:space="preserve">appellant’s </w:t>
      </w:r>
      <w:r>
        <w:t>narrower argument</w:t>
      </w:r>
      <w:r w:rsidR="002060D9">
        <w:t>.</w:t>
      </w:r>
    </w:p>
    <w:p w14:paraId="4057DBAE" w14:textId="5E98706E" w:rsidR="002D273C" w:rsidRDefault="00C024B6" w:rsidP="009151C1">
      <w:pPr>
        <w:pStyle w:val="ParaNumbering"/>
      </w:pPr>
      <w:r>
        <w:t xml:space="preserve">The primary judge considered </w:t>
      </w:r>
      <w:r w:rsidR="00DD5B37">
        <w:t xml:space="preserve">that </w:t>
      </w:r>
      <w:r>
        <w:t xml:space="preserve">the terms of the </w:t>
      </w:r>
      <w:r w:rsidRPr="000927BA">
        <w:t>Explanatory Statement</w:t>
      </w:r>
      <w:r w:rsidR="00D06A12">
        <w:t xml:space="preserve"> </w:t>
      </w:r>
      <w:r>
        <w:t xml:space="preserve">and </w:t>
      </w:r>
      <w:r w:rsidR="00564177" w:rsidRPr="00B5392A">
        <w:t>draft</w:t>
      </w:r>
      <w:r w:rsidR="00564177" w:rsidRPr="00087CA8">
        <w:rPr>
          <w:b/>
          <w:bCs/>
        </w:rPr>
        <w:t xml:space="preserve"> </w:t>
      </w:r>
      <w:r w:rsidRPr="00087CA8">
        <w:rPr>
          <w:b/>
          <w:bCs/>
        </w:rPr>
        <w:t>Statement of Compatibility</w:t>
      </w:r>
      <w:r w:rsidR="003C476E">
        <w:t xml:space="preserve"> </w:t>
      </w:r>
      <w:r w:rsidR="00564177">
        <w:t>with Human Rights</w:t>
      </w:r>
      <w:r w:rsidR="00B5392A">
        <w:t xml:space="preserve"> </w:t>
      </w:r>
      <w:r w:rsidR="00EB157E">
        <w:t xml:space="preserve">(by the expressions “and/or” and “may”) </w:t>
      </w:r>
      <w:r w:rsidR="00C65E62">
        <w:t>captured both the fact that disc</w:t>
      </w:r>
      <w:r w:rsidR="00533979">
        <w:t>r</w:t>
      </w:r>
      <w:r w:rsidR="00C65E62">
        <w:t>etion was involved and that it was open to the Minister to designate a person, declare a person, or to do both or neither</w:t>
      </w:r>
      <w:r w:rsidR="00687059">
        <w:t>: J</w:t>
      </w:r>
      <w:r w:rsidR="002D0C83">
        <w:t> </w:t>
      </w:r>
      <w:r w:rsidR="00687059">
        <w:t>[147]</w:t>
      </w:r>
      <w:proofErr w:type="gramStart"/>
      <w:r w:rsidR="009151C1">
        <w:t>–</w:t>
      </w:r>
      <w:r w:rsidR="0089246E">
        <w:t>[</w:t>
      </w:r>
      <w:proofErr w:type="gramEnd"/>
      <w:r w:rsidR="0089246E">
        <w:t>149]</w:t>
      </w:r>
      <w:r w:rsidR="00C65E62">
        <w:t xml:space="preserve">. His Honour </w:t>
      </w:r>
      <w:r w:rsidR="002E2DBE">
        <w:t xml:space="preserve">noted the Recommendation contained in the Ministerial Submission </w:t>
      </w:r>
      <w:r w:rsidR="008572C3">
        <w:t>present</w:t>
      </w:r>
      <w:r w:rsidR="001641B5">
        <w:t>ed</w:t>
      </w:r>
      <w:r w:rsidR="008572C3">
        <w:t xml:space="preserve"> somewhat more difficulty in relation to this argument, </w:t>
      </w:r>
      <w:r w:rsidR="00257580">
        <w:t>for the reasons explained at J [</w:t>
      </w:r>
      <w:r w:rsidR="00342911">
        <w:t>150]</w:t>
      </w:r>
      <w:proofErr w:type="gramStart"/>
      <w:r w:rsidR="009151C1">
        <w:t>–</w:t>
      </w:r>
      <w:r w:rsidR="00342911">
        <w:t>[</w:t>
      </w:r>
      <w:proofErr w:type="gramEnd"/>
      <w:r w:rsidR="00342911">
        <w:t xml:space="preserve">153]. </w:t>
      </w:r>
      <w:r w:rsidR="00184E68">
        <w:t>H</w:t>
      </w:r>
      <w:r w:rsidR="00342911">
        <w:t>is Honour</w:t>
      </w:r>
      <w:r w:rsidR="00184E68">
        <w:t xml:space="preserve"> considered, however, </w:t>
      </w:r>
      <w:r w:rsidR="005D560E">
        <w:t xml:space="preserve">that the </w:t>
      </w:r>
      <w:r w:rsidR="00736C98">
        <w:t xml:space="preserve">key part of the </w:t>
      </w:r>
      <w:r w:rsidR="005D560E">
        <w:t xml:space="preserve">Ministerial </w:t>
      </w:r>
      <w:r w:rsidR="00736C98">
        <w:t>Submission was</w:t>
      </w:r>
      <w:r w:rsidR="005D560E">
        <w:t xml:space="preserve"> not sufficient </w:t>
      </w:r>
      <w:proofErr w:type="gramStart"/>
      <w:r w:rsidR="005D560E">
        <w:t>in itself to</w:t>
      </w:r>
      <w:proofErr w:type="gramEnd"/>
      <w:r w:rsidR="005D560E">
        <w:t xml:space="preserve"> sustain a finding th</w:t>
      </w:r>
      <w:r w:rsidR="00736C98">
        <w:t>at</w:t>
      </w:r>
      <w:r w:rsidR="005D560E">
        <w:t xml:space="preserve"> the Minister was led into the error of acting on the understanding that her options were limited to imposing both measures (designation and declaration) or neither</w:t>
      </w:r>
      <w:r w:rsidR="00874511">
        <w:t>: J</w:t>
      </w:r>
      <w:r w:rsidR="001827F7">
        <w:t> [155]</w:t>
      </w:r>
      <w:r w:rsidR="00736C98">
        <w:t>.</w:t>
      </w:r>
    </w:p>
    <w:p w14:paraId="4703555B" w14:textId="191E01AE" w:rsidR="00C02146" w:rsidRDefault="001827F7" w:rsidP="007957D7">
      <w:pPr>
        <w:pStyle w:val="ParaNumbering"/>
      </w:pPr>
      <w:r>
        <w:t>His Honour held</w:t>
      </w:r>
      <w:r w:rsidR="000A41D3">
        <w:t xml:space="preserve"> that there was </w:t>
      </w:r>
      <w:r w:rsidR="006513D2">
        <w:t xml:space="preserve">thus </w:t>
      </w:r>
      <w:r w:rsidR="000A41D3">
        <w:t>no persuasive evidence of the Minister having been led into error</w:t>
      </w:r>
      <w:r w:rsidR="006513D2">
        <w:t>,</w:t>
      </w:r>
      <w:r w:rsidR="00C024B6">
        <w:t xml:space="preserve"> and</w:t>
      </w:r>
      <w:r w:rsidR="00805EEE">
        <w:t xml:space="preserve"> </w:t>
      </w:r>
      <w:r w:rsidR="000A41D3">
        <w:t xml:space="preserve">the observations in </w:t>
      </w:r>
      <w:r w:rsidR="00C02146">
        <w:t>the Explanat</w:t>
      </w:r>
      <w:r w:rsidR="0095002A">
        <w:t>ory</w:t>
      </w:r>
      <w:r w:rsidR="00C02146">
        <w:t xml:space="preserve"> Statement and </w:t>
      </w:r>
      <w:r w:rsidR="00654552">
        <w:t xml:space="preserve">the </w:t>
      </w:r>
      <w:r w:rsidR="00C02146">
        <w:t>Statement of Compatibility should be taken to represent the Minister’s</w:t>
      </w:r>
      <w:r w:rsidR="0095447E">
        <w:t xml:space="preserve"> understanding</w:t>
      </w:r>
      <w:r w:rsidR="00C02146">
        <w:t>: J [157].</w:t>
      </w:r>
    </w:p>
    <w:p w14:paraId="10671E57" w14:textId="2F334242" w:rsidR="00B84C10" w:rsidRPr="00B84C10" w:rsidRDefault="00B84C10" w:rsidP="00A9360D">
      <w:pPr>
        <w:pStyle w:val="ParaNumbering"/>
      </w:pPr>
      <w:r w:rsidRPr="00B84C10">
        <w:t>The primary judge therefore dismissed the originating application</w:t>
      </w:r>
      <w:r w:rsidR="002D273C">
        <w:t>,</w:t>
      </w:r>
      <w:r w:rsidRPr="00B84C10">
        <w:t xml:space="preserve"> with costs: J [180].</w:t>
      </w:r>
    </w:p>
    <w:p w14:paraId="2D1E8089" w14:textId="18D476C0" w:rsidR="00CF499A" w:rsidRDefault="00D5341E" w:rsidP="00FF4CC7">
      <w:pPr>
        <w:pStyle w:val="Heading1"/>
      </w:pPr>
      <w:bookmarkStart w:id="42" w:name="_Ref193875049"/>
      <w:r>
        <w:lastRenderedPageBreak/>
        <w:t>D</w:t>
      </w:r>
      <w:r w:rsidR="001A4FAE">
        <w:t>etermination</w:t>
      </w:r>
      <w:bookmarkEnd w:id="42"/>
    </w:p>
    <w:p w14:paraId="7F4C2001" w14:textId="76DD4573" w:rsidR="00123E1B" w:rsidRPr="00123E1B" w:rsidRDefault="00123E1B" w:rsidP="00087CA8">
      <w:pPr>
        <w:pStyle w:val="Heading2"/>
      </w:pPr>
      <w:r>
        <w:t>“Reading down”</w:t>
      </w:r>
      <w:r w:rsidR="00133EFC">
        <w:t xml:space="preserve"> </w:t>
      </w:r>
      <w:r w:rsidR="00023E21">
        <w:t>[</w:t>
      </w:r>
      <w:r w:rsidR="00133EFC">
        <w:t>ANOA Grounds 2 and 3</w:t>
      </w:r>
      <w:r w:rsidR="00023E21">
        <w:t>]</w:t>
      </w:r>
    </w:p>
    <w:p w14:paraId="46092D72" w14:textId="21BE40C5" w:rsidR="00DB458E" w:rsidRDefault="00DB458E" w:rsidP="00123E1B">
      <w:pPr>
        <w:pStyle w:val="ParaNumbering"/>
        <w:tabs>
          <w:tab w:val="clear" w:pos="720"/>
        </w:tabs>
      </w:pPr>
      <w:r>
        <w:t xml:space="preserve">As already noted, it was common ground that regs 14 and 15 are invalid to the extent that they impinge on the entrenched jurisdiction </w:t>
      </w:r>
      <w:r w:rsidR="00DE71B5">
        <w:t>under</w:t>
      </w:r>
      <w:r w:rsidR="009874B0">
        <w:t xml:space="preserve"> </w:t>
      </w:r>
      <w:r>
        <w:t xml:space="preserve">s 75(v) of the </w:t>
      </w:r>
      <w:r w:rsidRPr="00C20FF2">
        <w:rPr>
          <w:i/>
          <w:iCs/>
        </w:rPr>
        <w:t>Constitution</w:t>
      </w:r>
      <w:r>
        <w:t xml:space="preserve">. More accurately, the empowering provision, s 10(1) of the </w:t>
      </w:r>
      <w:r w:rsidR="00B71DA3">
        <w:t>Act</w:t>
      </w:r>
      <w:r>
        <w:t xml:space="preserve">, cannot empower regulations that would have that effect. </w:t>
      </w:r>
      <w:r w:rsidRPr="00886FE6">
        <w:t xml:space="preserve">The question </w:t>
      </w:r>
      <w:r w:rsidR="00144DA5" w:rsidRPr="00886FE6">
        <w:t xml:space="preserve">is </w:t>
      </w:r>
      <w:r w:rsidR="009D13CB">
        <w:t xml:space="preserve">therefore </w:t>
      </w:r>
      <w:r w:rsidRPr="00886FE6">
        <w:t xml:space="preserve">whether the regs 14 and 15 can be read down </w:t>
      </w:r>
      <w:proofErr w:type="gramStart"/>
      <w:r w:rsidRPr="00886FE6">
        <w:t>so as to</w:t>
      </w:r>
      <w:proofErr w:type="gramEnd"/>
      <w:r w:rsidRPr="00886FE6">
        <w:t xml:space="preserve"> preserve them to the extent that they do not impinge on that jurisdiction.</w:t>
      </w:r>
    </w:p>
    <w:p w14:paraId="1D5D8CC2" w14:textId="1AC77FF0" w:rsidR="00AF0500" w:rsidRPr="000927BA" w:rsidRDefault="00EF75D3" w:rsidP="003E3CCE">
      <w:pPr>
        <w:pStyle w:val="ParaNumbering"/>
        <w:tabs>
          <w:tab w:val="clear" w:pos="720"/>
        </w:tabs>
      </w:pPr>
      <w:r>
        <w:t xml:space="preserve">The appellant’s </w:t>
      </w:r>
      <w:r w:rsidR="0018603B">
        <w:t xml:space="preserve">preliminary </w:t>
      </w:r>
      <w:r>
        <w:t>submission</w:t>
      </w:r>
      <w:r w:rsidR="001C1C40">
        <w:t xml:space="preserve"> </w:t>
      </w:r>
      <w:r>
        <w:t xml:space="preserve">that the </w:t>
      </w:r>
      <w:r w:rsidR="009D05BE">
        <w:t xml:space="preserve">primary judge </w:t>
      </w:r>
      <w:r w:rsidR="00740385">
        <w:t xml:space="preserve">did not make a positive finding, or </w:t>
      </w:r>
      <w:r w:rsidR="00210A9E">
        <w:t xml:space="preserve">that </w:t>
      </w:r>
      <w:r w:rsidR="00A2580C">
        <w:t xml:space="preserve">the </w:t>
      </w:r>
      <w:r w:rsidR="007749A4">
        <w:t xml:space="preserve">primary judge’s finding </w:t>
      </w:r>
      <w:r w:rsidR="00535763">
        <w:t>on</w:t>
      </w:r>
      <w:r w:rsidR="007749A4">
        <w:t xml:space="preserve"> the reading down</w:t>
      </w:r>
      <w:r>
        <w:t xml:space="preserve"> </w:t>
      </w:r>
      <w:r w:rsidR="007749A4">
        <w:t xml:space="preserve">was unclear, </w:t>
      </w:r>
      <w:r w:rsidR="0024045A">
        <w:t xml:space="preserve">is </w:t>
      </w:r>
      <w:r>
        <w:t xml:space="preserve">rejected. </w:t>
      </w:r>
      <w:r w:rsidR="009D13CB">
        <w:t xml:space="preserve">The </w:t>
      </w:r>
      <w:r w:rsidR="00AC631C">
        <w:t>finding</w:t>
      </w:r>
      <w:r w:rsidR="000C403F">
        <w:t>s</w:t>
      </w:r>
      <w:r w:rsidR="00453301">
        <w:t xml:space="preserve"> are </w:t>
      </w:r>
      <w:r w:rsidR="00AC631C">
        <w:t xml:space="preserve">set out </w:t>
      </w:r>
      <w:r w:rsidR="009D13CB">
        <w:t>at</w:t>
      </w:r>
      <w:r w:rsidR="00AC631C">
        <w:t xml:space="preserve"> </w:t>
      </w:r>
      <w:r w:rsidR="00A07B54">
        <w:t xml:space="preserve">J </w:t>
      </w:r>
      <w:r w:rsidR="00537441">
        <w:t xml:space="preserve">[51] and </w:t>
      </w:r>
      <w:r w:rsidR="00A07B54">
        <w:t>[</w:t>
      </w:r>
      <w:r w:rsidR="00537441">
        <w:t>73</w:t>
      </w:r>
      <w:r w:rsidR="00AC2A64">
        <w:t>]</w:t>
      </w:r>
      <w:proofErr w:type="gramStart"/>
      <w:r w:rsidR="003E3CCE">
        <w:t>–</w:t>
      </w:r>
      <w:r w:rsidR="00537441">
        <w:t>[</w:t>
      </w:r>
      <w:proofErr w:type="gramEnd"/>
      <w:r w:rsidR="00537441">
        <w:t>74]</w:t>
      </w:r>
      <w:r w:rsidR="00453301">
        <w:t xml:space="preserve">. </w:t>
      </w:r>
      <w:r w:rsidR="00904754">
        <w:t xml:space="preserve">His Honour held that the regs 14 and 15 </w:t>
      </w:r>
      <w:r w:rsidR="00946CF9">
        <w:t xml:space="preserve">are </w:t>
      </w:r>
      <w:r w:rsidR="00904754">
        <w:t xml:space="preserve">to be read down </w:t>
      </w:r>
      <w:r w:rsidR="003468C9">
        <w:t xml:space="preserve">so as </w:t>
      </w:r>
      <w:r w:rsidR="00904754">
        <w:t xml:space="preserve">to exclude </w:t>
      </w:r>
      <w:r w:rsidR="003468C9">
        <w:t xml:space="preserve">actions taken for the purpose of challenging the validity of decisions or actions under the Act pursuant to s 75(v) of the </w:t>
      </w:r>
      <w:r w:rsidR="003468C9" w:rsidRPr="00C20FF2">
        <w:rPr>
          <w:i/>
          <w:iCs/>
        </w:rPr>
        <w:t>Constitution</w:t>
      </w:r>
      <w:r w:rsidR="003468C9">
        <w:t xml:space="preserve"> or s 39</w:t>
      </w:r>
      <w:proofErr w:type="gramStart"/>
      <w:r w:rsidR="003468C9">
        <w:t>B(</w:t>
      </w:r>
      <w:proofErr w:type="gramEnd"/>
      <w:r w:rsidR="003468C9">
        <w:t xml:space="preserve">1) of the </w:t>
      </w:r>
      <w:r w:rsidR="003468C9" w:rsidRPr="00CD4AA5">
        <w:t>Judiciary Act</w:t>
      </w:r>
      <w:r w:rsidR="00003D28" w:rsidRPr="00CD4AA5">
        <w:t>.</w:t>
      </w:r>
      <w:r w:rsidR="00002F69">
        <w:t xml:space="preserve"> </w:t>
      </w:r>
      <w:r w:rsidR="00547F25" w:rsidRPr="00BB787A">
        <w:t xml:space="preserve">“Purpose” was used </w:t>
      </w:r>
      <w:r w:rsidR="00547F25">
        <w:t>“</w:t>
      </w:r>
      <w:r w:rsidR="00547F25" w:rsidRPr="00BB787A">
        <w:t>in an objective sense, to describe the end served by the actions referred to rather than the subjective intentions of the people involved</w:t>
      </w:r>
      <w:r w:rsidR="00547F25">
        <w:t>”: J [51] and [73]</w:t>
      </w:r>
      <w:proofErr w:type="gramStart"/>
      <w:r w:rsidR="003E3CCE">
        <w:t>–</w:t>
      </w:r>
      <w:r w:rsidR="00547F25">
        <w:t>[</w:t>
      </w:r>
      <w:proofErr w:type="gramEnd"/>
      <w:r w:rsidR="00547F25">
        <w:t>74].</w:t>
      </w:r>
    </w:p>
    <w:p w14:paraId="55891FA6" w14:textId="7283E0C4" w:rsidR="00C013F1" w:rsidRDefault="00BF7338" w:rsidP="00C013F1">
      <w:pPr>
        <w:pStyle w:val="ParaNumbering"/>
        <w:tabs>
          <w:tab w:val="clear" w:pos="720"/>
        </w:tabs>
      </w:pPr>
      <w:r>
        <w:t>In our view, t</w:t>
      </w:r>
      <w:r w:rsidR="00C013F1">
        <w:t>he primary judge’s reasoning to the conclusion on reading down</w:t>
      </w:r>
      <w:r w:rsidR="0046277E">
        <w:t xml:space="preserve"> regs 14 and 15</w:t>
      </w:r>
      <w:r w:rsidR="00C013F1">
        <w:t xml:space="preserve"> is unimpeachable. It recognises the various limiting principles from the authorities and explains why they </w:t>
      </w:r>
      <w:r w:rsidR="007D0E36">
        <w:t>support</w:t>
      </w:r>
      <w:r w:rsidR="00BB67EA">
        <w:t xml:space="preserve"> </w:t>
      </w:r>
      <w:r w:rsidR="00C013F1">
        <w:t xml:space="preserve">a reading down </w:t>
      </w:r>
      <w:r w:rsidR="00161814">
        <w:t>of reg</w:t>
      </w:r>
      <w:r w:rsidR="00946CF9">
        <w:t>s</w:t>
      </w:r>
      <w:r w:rsidR="00161814">
        <w:t xml:space="preserve"> 14 and 15</w:t>
      </w:r>
      <w:r w:rsidR="00C013F1">
        <w:t>. The appellant’s principal challenges to that reasoning</w:t>
      </w:r>
      <w:r w:rsidR="000E2AF0">
        <w:t xml:space="preserve"> are dealt with sequentially</w:t>
      </w:r>
      <w:r w:rsidR="00353F7D">
        <w:t xml:space="preserve"> and</w:t>
      </w:r>
      <w:r w:rsidR="005E01AC">
        <w:t xml:space="preserve"> rejected for the reasons</w:t>
      </w:r>
      <w:r w:rsidR="00161814">
        <w:t xml:space="preserve"> </w:t>
      </w:r>
      <w:r w:rsidR="00353F7D">
        <w:t>set out below</w:t>
      </w:r>
      <w:r w:rsidR="005C782A">
        <w:t>.</w:t>
      </w:r>
    </w:p>
    <w:p w14:paraId="0308C8FD" w14:textId="4852C374" w:rsidR="005001E4" w:rsidRDefault="003913F7" w:rsidP="001E7B02">
      <w:pPr>
        <w:pStyle w:val="ParaNumbering"/>
        <w:tabs>
          <w:tab w:val="clear" w:pos="720"/>
        </w:tabs>
      </w:pPr>
      <w:r w:rsidRPr="00087CA8">
        <w:t>First</w:t>
      </w:r>
      <w:r>
        <w:t xml:space="preserve">, </w:t>
      </w:r>
      <w:r w:rsidR="001E3773">
        <w:t>the appellant</w:t>
      </w:r>
      <w:r w:rsidR="005C3C99">
        <w:t xml:space="preserve"> submitted </w:t>
      </w:r>
      <w:r w:rsidR="001E3773">
        <w:t xml:space="preserve">that </w:t>
      </w:r>
      <w:r w:rsidR="00E0753F">
        <w:t xml:space="preserve">by invoking s 15A to disapply regs 14 and 15, the primary judge ignored or failed to give effect to s 12 of the </w:t>
      </w:r>
      <w:r w:rsidR="007D3E38">
        <w:t>Act</w:t>
      </w:r>
      <w:r w:rsidR="00E0753F">
        <w:t>.</w:t>
      </w:r>
      <w:r w:rsidR="001E7B02">
        <w:t xml:space="preserve"> </w:t>
      </w:r>
      <w:r w:rsidR="00E34ABE">
        <w:t xml:space="preserve">The appellant submitted that </w:t>
      </w:r>
      <w:r w:rsidR="009D13CB">
        <w:t>his Honour</w:t>
      </w:r>
      <w:r w:rsidR="00E34ABE">
        <w:t xml:space="preserve"> did not give effect to the parliamentary instruction in s 12 of the </w:t>
      </w:r>
      <w:r w:rsidR="007D3E38">
        <w:t>Act, which is</w:t>
      </w:r>
      <w:r w:rsidR="00E34ABE">
        <w:t xml:space="preserve"> that regs</w:t>
      </w:r>
      <w:r w:rsidR="00F639C3">
        <w:t> </w:t>
      </w:r>
      <w:r w:rsidR="00E34ABE">
        <w:t xml:space="preserve">14 and 15 are to “have </w:t>
      </w:r>
      <w:r w:rsidR="00E34ABE" w:rsidRPr="001E7B02">
        <w:rPr>
          <w:i/>
          <w:iCs/>
        </w:rPr>
        <w:t>effect</w:t>
      </w:r>
      <w:r w:rsidR="00E34ABE">
        <w:t xml:space="preserve"> despite” other laws, including s 15A and s 13 of the Legislation Act.</w:t>
      </w:r>
    </w:p>
    <w:p w14:paraId="57FA7847" w14:textId="286B8D79" w:rsidR="00DA4CD5" w:rsidRDefault="00DA4CD5" w:rsidP="001E7B02">
      <w:pPr>
        <w:pStyle w:val="ParaNumbering"/>
        <w:tabs>
          <w:tab w:val="clear" w:pos="720"/>
        </w:tabs>
      </w:pPr>
      <w:r>
        <w:t xml:space="preserve">Section 12 of the </w:t>
      </w:r>
      <w:r w:rsidR="007D3E38">
        <w:t>Act</w:t>
      </w:r>
      <w:r>
        <w:t xml:space="preserve"> is a conflict resolution clause which </w:t>
      </w:r>
      <w:r w:rsidR="00FE7FEB">
        <w:t>would be</w:t>
      </w:r>
      <w:r>
        <w:t xml:space="preserve"> engaged if </w:t>
      </w:r>
      <w:r w:rsidR="005A7541">
        <w:t xml:space="preserve">another law </w:t>
      </w:r>
      <w:r w:rsidR="004C38AD">
        <w:t>seemed to permit something which the Regulations prohibit</w:t>
      </w:r>
      <w:r w:rsidR="009D13CB">
        <w:t>ed</w:t>
      </w:r>
      <w:r w:rsidR="00E360AB">
        <w:t>. I</w:t>
      </w:r>
      <w:r w:rsidR="003647A6">
        <w:t xml:space="preserve">t does not </w:t>
      </w:r>
      <w:r w:rsidR="001C1430">
        <w:t xml:space="preserve">seek to </w:t>
      </w:r>
      <w:r w:rsidR="003647A6">
        <w:t xml:space="preserve">prohibit the </w:t>
      </w:r>
      <w:r w:rsidR="009844F0" w:rsidRPr="001C1430">
        <w:t>application of the ordinary rules of construction applicable to legislation</w:t>
      </w:r>
      <w:r w:rsidR="009844F0">
        <w:t xml:space="preserve">. </w:t>
      </w:r>
      <w:r w:rsidR="00A13BA0">
        <w:t xml:space="preserve">Section 12 of the Act would </w:t>
      </w:r>
      <w:r w:rsidR="004A790D">
        <w:t>apply</w:t>
      </w:r>
      <w:r w:rsidR="00A13BA0">
        <w:t xml:space="preserve"> if, after construing the Regulations, there was a conflict between t</w:t>
      </w:r>
      <w:r w:rsidR="00F03FCC">
        <w:t xml:space="preserve">he Regulations and another </w:t>
      </w:r>
      <w:r w:rsidR="003C4EA0">
        <w:t>law</w:t>
      </w:r>
      <w:r w:rsidR="000D3B22">
        <w:t xml:space="preserve"> or statutory instrument</w:t>
      </w:r>
      <w:r w:rsidR="00F03FCC">
        <w:t xml:space="preserve">. </w:t>
      </w:r>
      <w:r w:rsidR="005D4479">
        <w:t>There is no</w:t>
      </w:r>
      <w:r w:rsidR="005342D7">
        <w:t xml:space="preserve"> conflict or</w:t>
      </w:r>
      <w:r w:rsidR="005D4479">
        <w:t xml:space="preserve"> inconsistency between s 12 of the Act and s</w:t>
      </w:r>
      <w:r w:rsidR="00F03FCC">
        <w:t> </w:t>
      </w:r>
      <w:r w:rsidR="005D4479">
        <w:t>15A</w:t>
      </w:r>
      <w:r w:rsidR="00BB57ED">
        <w:t xml:space="preserve">, which </w:t>
      </w:r>
      <w:r w:rsidR="00A76B2E">
        <w:t xml:space="preserve">is a rule of construction that must be brought to account in construing the Regulations. </w:t>
      </w:r>
      <w:r w:rsidR="0016348B">
        <w:t xml:space="preserve">That </w:t>
      </w:r>
      <w:r w:rsidR="00A76B2E">
        <w:t xml:space="preserve">it </w:t>
      </w:r>
      <w:r w:rsidR="0016348B">
        <w:t xml:space="preserve">affects the construction of the Regulations does not mean there is an </w:t>
      </w:r>
      <w:r w:rsidR="00444EF5">
        <w:t>“</w:t>
      </w:r>
      <w:r w:rsidR="0016348B">
        <w:t>inconsistency</w:t>
      </w:r>
      <w:r w:rsidR="00444EF5">
        <w:t>”</w:t>
      </w:r>
      <w:r w:rsidR="0016348B">
        <w:t xml:space="preserve"> between </w:t>
      </w:r>
      <w:r w:rsidR="00F621B9">
        <w:t xml:space="preserve">the </w:t>
      </w:r>
      <w:r w:rsidR="00FE7FEB">
        <w:t xml:space="preserve">two </w:t>
      </w:r>
      <w:r w:rsidR="00F621B9">
        <w:t xml:space="preserve">provisions that would engage s 12 of the </w:t>
      </w:r>
      <w:r w:rsidR="006D3302">
        <w:t>Act</w:t>
      </w:r>
      <w:r w:rsidR="00F621B9">
        <w:t>.</w:t>
      </w:r>
    </w:p>
    <w:p w14:paraId="033536BE" w14:textId="411F28BC" w:rsidR="00E34ABE" w:rsidRDefault="006D44BD" w:rsidP="0064218D">
      <w:pPr>
        <w:pStyle w:val="ParaNumbering"/>
        <w:tabs>
          <w:tab w:val="clear" w:pos="720"/>
        </w:tabs>
      </w:pPr>
      <w:bookmarkStart w:id="43" w:name="_Ref191737989"/>
      <w:r w:rsidRPr="00087CA8">
        <w:lastRenderedPageBreak/>
        <w:t>Second</w:t>
      </w:r>
      <w:r w:rsidR="00E5361F" w:rsidRPr="00087CA8">
        <w:t>ly</w:t>
      </w:r>
      <w:r>
        <w:t>,</w:t>
      </w:r>
      <w:r w:rsidR="0041294C">
        <w:t xml:space="preserve"> the </w:t>
      </w:r>
      <w:r w:rsidR="00C83C9F">
        <w:t xml:space="preserve">appellant submitted that the </w:t>
      </w:r>
      <w:r w:rsidR="0041294C">
        <w:t>Minister’s</w:t>
      </w:r>
      <w:r w:rsidR="0041294C" w:rsidRPr="00992CFA">
        <w:t xml:space="preserve"> reading down</w:t>
      </w:r>
      <w:r w:rsidR="0041294C">
        <w:t xml:space="preserve"> of</w:t>
      </w:r>
      <w:r w:rsidR="0041294C">
        <w:rPr>
          <w:i/>
          <w:iCs/>
        </w:rPr>
        <w:t xml:space="preserve"> </w:t>
      </w:r>
      <w:r w:rsidR="0041294C">
        <w:t xml:space="preserve">regs 14 and 15, which the primary judge accepted, impermissibly altered the policy </w:t>
      </w:r>
      <w:r w:rsidR="0081138A">
        <w:t xml:space="preserve">that the primary judge </w:t>
      </w:r>
      <w:r w:rsidR="0005141D">
        <w:t>discerned</w:t>
      </w:r>
      <w:r w:rsidR="00674289">
        <w:t xml:space="preserve"> in the Act, </w:t>
      </w:r>
      <w:r w:rsidR="00E41878">
        <w:t>J</w:t>
      </w:r>
      <w:r w:rsidR="00674289">
        <w:t> </w:t>
      </w:r>
      <w:r w:rsidR="00E41878">
        <w:t>[115]</w:t>
      </w:r>
      <w:r w:rsidR="00674289">
        <w:t>,</w:t>
      </w:r>
      <w:r w:rsidR="0081138A">
        <w:t xml:space="preserve"> </w:t>
      </w:r>
      <w:r w:rsidR="0041294C">
        <w:t xml:space="preserve">which was to </w:t>
      </w:r>
      <w:r w:rsidR="0005141D">
        <w:t>“</w:t>
      </w:r>
      <w:r w:rsidR="0041294C">
        <w:t xml:space="preserve">put </w:t>
      </w:r>
      <w:r w:rsidR="0005141D">
        <w:t>[</w:t>
      </w:r>
      <w:r w:rsidR="00DB3173">
        <w:t xml:space="preserve">a </w:t>
      </w:r>
      <w:r w:rsidR="0041294C">
        <w:t>person</w:t>
      </w:r>
      <w:r w:rsidR="0005141D">
        <w:t>]</w:t>
      </w:r>
      <w:r w:rsidR="0041294C">
        <w:t xml:space="preserve"> </w:t>
      </w:r>
      <w:r w:rsidR="00DA5486">
        <w:t>outside</w:t>
      </w:r>
      <w:r w:rsidR="0041294C">
        <w:t xml:space="preserve"> the protection of the law</w:t>
      </w:r>
      <w:r w:rsidR="00DA5486">
        <w:t>”</w:t>
      </w:r>
      <w:r w:rsidR="0041294C">
        <w:t>.</w:t>
      </w:r>
      <w:r w:rsidR="00F30368">
        <w:t xml:space="preserve"> </w:t>
      </w:r>
      <w:r w:rsidR="00105FD3">
        <w:t xml:space="preserve">This submission mischaracterises the primary judge’s reasons. </w:t>
      </w:r>
      <w:r w:rsidR="00930C57">
        <w:t xml:space="preserve">The reference </w:t>
      </w:r>
      <w:r w:rsidR="000C4D91">
        <w:t>in</w:t>
      </w:r>
      <w:r w:rsidR="00930C57">
        <w:t xml:space="preserve"> J</w:t>
      </w:r>
      <w:r w:rsidR="00C6773A">
        <w:t> </w:t>
      </w:r>
      <w:r w:rsidR="00930C57">
        <w:t xml:space="preserve">[115] to “proscription” </w:t>
      </w:r>
      <w:r w:rsidR="000E6557">
        <w:t xml:space="preserve">was in the context of the principle of legality and </w:t>
      </w:r>
      <w:r w:rsidR="009113BC">
        <w:t>fundamental</w:t>
      </w:r>
      <w:r w:rsidR="000E6557">
        <w:t xml:space="preserve"> common law rights</w:t>
      </w:r>
      <w:r w:rsidR="001A4AFD">
        <w:t xml:space="preserve">, to show that the policy of the </w:t>
      </w:r>
      <w:r w:rsidR="00E41878">
        <w:t>Act</w:t>
      </w:r>
      <w:r w:rsidR="001A4AFD">
        <w:t xml:space="preserve"> is to limit common law rights, not that it is to place a designated person beyond the protection of the law for all purposes</w:t>
      </w:r>
      <w:r w:rsidR="001D2916">
        <w:t xml:space="preserve">. </w:t>
      </w:r>
      <w:r w:rsidR="00340805">
        <w:t>Contrary to the appellant’s submission, h</w:t>
      </w:r>
      <w:r w:rsidR="00234248">
        <w:t xml:space="preserve">is Honour did not conclude that the policy of the </w:t>
      </w:r>
      <w:r w:rsidR="00E41878">
        <w:t>Act</w:t>
      </w:r>
      <w:r w:rsidR="00234248">
        <w:t xml:space="preserve"> is to put a person outside the protection of the law, including the prote</w:t>
      </w:r>
      <w:r w:rsidR="006C5C4C">
        <w:t xml:space="preserve">ction of s 75(v). </w:t>
      </w:r>
      <w:r w:rsidR="00482905">
        <w:t>In our view, t</w:t>
      </w:r>
      <w:r w:rsidR="001D2916">
        <w:t xml:space="preserve">he relatively minor limitation on the reach of the </w:t>
      </w:r>
      <w:r w:rsidR="00482905">
        <w:t>R</w:t>
      </w:r>
      <w:r w:rsidR="001D2916">
        <w:t xml:space="preserve">egulations with reference to s 75(v) retains the essential policy of the </w:t>
      </w:r>
      <w:r w:rsidR="00482905">
        <w:t>Act</w:t>
      </w:r>
      <w:r w:rsidR="001D2916">
        <w:t xml:space="preserve"> and is not inconsistent with it.</w:t>
      </w:r>
      <w:bookmarkEnd w:id="43"/>
    </w:p>
    <w:p w14:paraId="3F79EE17" w14:textId="2247DF17" w:rsidR="00971A8B" w:rsidRDefault="00D2104B" w:rsidP="00E951E2">
      <w:pPr>
        <w:pStyle w:val="ParaNumbering"/>
        <w:tabs>
          <w:tab w:val="clear" w:pos="720"/>
        </w:tabs>
      </w:pPr>
      <w:r w:rsidRPr="00087CA8">
        <w:t>Third</w:t>
      </w:r>
      <w:r w:rsidR="00E5361F" w:rsidRPr="00087CA8">
        <w:t>ly</w:t>
      </w:r>
      <w:r>
        <w:rPr>
          <w:i/>
          <w:iCs/>
        </w:rPr>
        <w:t xml:space="preserve">, </w:t>
      </w:r>
      <w:r>
        <w:t xml:space="preserve">the appellant </w:t>
      </w:r>
      <w:r w:rsidR="00E743ED">
        <w:t xml:space="preserve">submitted that </w:t>
      </w:r>
      <w:r w:rsidR="00B6170D">
        <w:t>the Minister’s</w:t>
      </w:r>
      <w:r w:rsidR="00B6170D" w:rsidRPr="00992CFA">
        <w:t xml:space="preserve"> reading down</w:t>
      </w:r>
      <w:r w:rsidR="00B6170D">
        <w:t xml:space="preserve"> of</w:t>
      </w:r>
      <w:r w:rsidR="00B6170D">
        <w:rPr>
          <w:i/>
          <w:iCs/>
        </w:rPr>
        <w:t xml:space="preserve"> </w:t>
      </w:r>
      <w:r w:rsidR="00B6170D">
        <w:t>regs 14 and 15, which the primary judge accept</w:t>
      </w:r>
      <w:r w:rsidR="00B6170D" w:rsidRPr="00684840">
        <w:t>ed, amounted to a legislative choice</w:t>
      </w:r>
      <w:r w:rsidR="006D64CB" w:rsidRPr="00684840">
        <w:t xml:space="preserve"> (and hence not a permissible exercise of judicial power)</w:t>
      </w:r>
      <w:r w:rsidR="00B21D7D" w:rsidRPr="00684840">
        <w:t>, contrary to</w:t>
      </w:r>
      <w:r w:rsidR="00B6170D" w:rsidRPr="00684840">
        <w:t xml:space="preserve"> </w:t>
      </w:r>
      <w:proofErr w:type="spellStart"/>
      <w:r w:rsidR="00B6170D" w:rsidRPr="00684840">
        <w:rPr>
          <w:i/>
          <w:iCs/>
        </w:rPr>
        <w:t>Pidoto</w:t>
      </w:r>
      <w:proofErr w:type="spellEnd"/>
      <w:r w:rsidR="00B6170D" w:rsidRPr="00684840">
        <w:rPr>
          <w:i/>
          <w:iCs/>
        </w:rPr>
        <w:t xml:space="preserve"> </w:t>
      </w:r>
      <w:r w:rsidR="00B6170D" w:rsidRPr="00684840">
        <w:t>at 111</w:t>
      </w:r>
      <w:r w:rsidR="00A22F18">
        <w:t xml:space="preserve"> (Latham CJ)</w:t>
      </w:r>
      <w:r w:rsidR="00B21D7D" w:rsidRPr="00684840">
        <w:t xml:space="preserve"> and </w:t>
      </w:r>
      <w:r w:rsidR="00B6170D" w:rsidRPr="00684840">
        <w:rPr>
          <w:i/>
          <w:iCs/>
        </w:rPr>
        <w:t xml:space="preserve">Industrial </w:t>
      </w:r>
      <w:r w:rsidR="00673873" w:rsidRPr="00684840">
        <w:rPr>
          <w:i/>
          <w:iCs/>
        </w:rPr>
        <w:t>R</w:t>
      </w:r>
      <w:r w:rsidR="00B6170D" w:rsidRPr="00684840">
        <w:rPr>
          <w:i/>
          <w:iCs/>
        </w:rPr>
        <w:t xml:space="preserve">elations </w:t>
      </w:r>
      <w:r w:rsidR="0093141A" w:rsidRPr="00684840">
        <w:rPr>
          <w:i/>
          <w:iCs/>
        </w:rPr>
        <w:t xml:space="preserve">Act </w:t>
      </w:r>
      <w:r w:rsidR="00451BA8">
        <w:rPr>
          <w:i/>
          <w:iCs/>
        </w:rPr>
        <w:t>c</w:t>
      </w:r>
      <w:r w:rsidR="00B6170D" w:rsidRPr="00684840">
        <w:rPr>
          <w:i/>
          <w:iCs/>
        </w:rPr>
        <w:t>ase</w:t>
      </w:r>
      <w:r w:rsidR="00B6170D" w:rsidRPr="00684840">
        <w:t xml:space="preserve"> at</w:t>
      </w:r>
      <w:r w:rsidR="0077418D">
        <w:t> </w:t>
      </w:r>
      <w:r w:rsidR="00B6170D" w:rsidRPr="00684840">
        <w:t>50</w:t>
      </w:r>
      <w:r w:rsidR="00B21D7D" w:rsidRPr="00684840">
        <w:t>2</w:t>
      </w:r>
      <w:r w:rsidR="00391134">
        <w:t xml:space="preserve"> </w:t>
      </w:r>
      <w:r w:rsidR="00391134" w:rsidRPr="00684840">
        <w:t xml:space="preserve">(Brennan CJ, Toohey, </w:t>
      </w:r>
      <w:proofErr w:type="spellStart"/>
      <w:r w:rsidR="00391134" w:rsidRPr="00684840">
        <w:t>Gaudron</w:t>
      </w:r>
      <w:proofErr w:type="spellEnd"/>
      <w:r w:rsidR="00391134" w:rsidRPr="00684840">
        <w:t>, McHugh and Gummow JJ)</w:t>
      </w:r>
      <w:r w:rsidR="00B6170D" w:rsidRPr="00684840">
        <w:t>.</w:t>
      </w:r>
      <w:r w:rsidR="00E743ED" w:rsidRPr="00684840">
        <w:t xml:space="preserve"> </w:t>
      </w:r>
      <w:r w:rsidR="000922E8" w:rsidRPr="00684840">
        <w:t>The appellant submitted that</w:t>
      </w:r>
      <w:r w:rsidR="00EF183E" w:rsidRPr="00684840">
        <w:t xml:space="preserve"> the primary judge did not identify why</w:t>
      </w:r>
      <w:r w:rsidR="000922E8" w:rsidRPr="00684840">
        <w:t xml:space="preserve"> “objective purpose” </w:t>
      </w:r>
      <w:r w:rsidR="00EF183E" w:rsidRPr="00684840">
        <w:t>was selected as the criterion</w:t>
      </w:r>
      <w:r w:rsidR="000922E8" w:rsidRPr="00684840">
        <w:t xml:space="preserve"> marking the boundary between the application and disapplication of regs 14 and </w:t>
      </w:r>
      <w:r w:rsidR="002813EA" w:rsidRPr="00684840">
        <w:t>15. Moreover, the concept of “objective purpose”</w:t>
      </w:r>
      <w:r w:rsidR="001867B4" w:rsidRPr="00684840">
        <w:t xml:space="preserve"> is</w:t>
      </w:r>
      <w:r w:rsidR="00EF183E" w:rsidRPr="00684840">
        <w:t xml:space="preserve"> a limitation that does </w:t>
      </w:r>
      <w:r w:rsidR="000922E8" w:rsidRPr="00684840">
        <w:t xml:space="preserve">not appear from the terms of the </w:t>
      </w:r>
      <w:r w:rsidR="0093141A" w:rsidRPr="00684840">
        <w:t>Act</w:t>
      </w:r>
      <w:r w:rsidR="000922E8" w:rsidRPr="00684840">
        <w:t xml:space="preserve"> or its subject matter</w:t>
      </w:r>
      <w:r w:rsidR="002813EA" w:rsidRPr="00684840">
        <w:t xml:space="preserve">: </w:t>
      </w:r>
      <w:r w:rsidR="002813EA" w:rsidRPr="00684840">
        <w:rPr>
          <w:i/>
          <w:iCs/>
        </w:rPr>
        <w:t xml:space="preserve">Industrial Relations </w:t>
      </w:r>
      <w:r w:rsidR="00451BA8">
        <w:rPr>
          <w:i/>
          <w:iCs/>
        </w:rPr>
        <w:t>c</w:t>
      </w:r>
      <w:r w:rsidR="002813EA" w:rsidRPr="00684840">
        <w:rPr>
          <w:i/>
          <w:iCs/>
        </w:rPr>
        <w:t xml:space="preserve">ase </w:t>
      </w:r>
      <w:r w:rsidR="002813EA" w:rsidRPr="00684840">
        <w:t>at 502.</w:t>
      </w:r>
      <w:r w:rsidR="008527D7" w:rsidRPr="00684840">
        <w:t xml:space="preserve"> </w:t>
      </w:r>
      <w:r w:rsidR="009F1164" w:rsidRPr="00684840">
        <w:t xml:space="preserve">His Honour therefore might </w:t>
      </w:r>
      <w:r w:rsidR="008527D7" w:rsidRPr="00684840">
        <w:t xml:space="preserve">have drawn the boundary by reference </w:t>
      </w:r>
      <w:r w:rsidR="00A2580C">
        <w:t xml:space="preserve">to </w:t>
      </w:r>
      <w:proofErr w:type="gramStart"/>
      <w:r w:rsidR="008527D7" w:rsidRPr="00684840">
        <w:t>a number of</w:t>
      </w:r>
      <w:proofErr w:type="gramEnd"/>
      <w:r w:rsidR="008527D7" w:rsidRPr="00684840">
        <w:t xml:space="preserve"> </w:t>
      </w:r>
      <w:r w:rsidR="00E20E20" w:rsidRPr="00684840">
        <w:t>matters or limitations</w:t>
      </w:r>
      <w:r w:rsidR="00971A8B" w:rsidRPr="00684840">
        <w:t>, which amounted to a legislative choice.</w:t>
      </w:r>
    </w:p>
    <w:p w14:paraId="543462A7" w14:textId="4D650AD6" w:rsidR="00B44CF7" w:rsidRPr="00684840" w:rsidRDefault="00A81499" w:rsidP="00E951E2">
      <w:pPr>
        <w:pStyle w:val="ParaNumbering"/>
        <w:tabs>
          <w:tab w:val="clear" w:pos="720"/>
        </w:tabs>
      </w:pPr>
      <w:r>
        <w:t xml:space="preserve">This argument was the appellant’s most substantive argument and </w:t>
      </w:r>
      <w:r w:rsidR="001C58E6">
        <w:t>require</w:t>
      </w:r>
      <w:r w:rsidR="008662BF">
        <w:t>s</w:t>
      </w:r>
      <w:r w:rsidR="001C58E6">
        <w:t xml:space="preserve"> close analysis of </w:t>
      </w:r>
      <w:r w:rsidR="00BF2B15">
        <w:t xml:space="preserve">primary judge’s reasons and </w:t>
      </w:r>
      <w:r w:rsidR="001C58E6">
        <w:t>the authorities relied upon by both parties.</w:t>
      </w:r>
    </w:p>
    <w:p w14:paraId="1FDB553D" w14:textId="385D9214" w:rsidR="00981807" w:rsidRPr="00684840" w:rsidRDefault="004508E7" w:rsidP="00E951E2">
      <w:pPr>
        <w:pStyle w:val="ParaNumbering"/>
        <w:tabs>
          <w:tab w:val="clear" w:pos="720"/>
        </w:tabs>
      </w:pPr>
      <w:r w:rsidRPr="00684840">
        <w:t>T</w:t>
      </w:r>
      <w:r w:rsidR="00622C83" w:rsidRPr="00684840">
        <w:t xml:space="preserve">he primary judge approached the </w:t>
      </w:r>
      <w:r w:rsidR="007634AD" w:rsidRPr="00684840">
        <w:t>task</w:t>
      </w:r>
      <w:r w:rsidR="00622C83" w:rsidRPr="00684840">
        <w:t xml:space="preserve"> as a question of construction involving the application of s 15A, which is made applicable to the Regulations by s 13 of the Legislation Act</w:t>
      </w:r>
      <w:r w:rsidR="009F32F8" w:rsidRPr="00684840">
        <w:t xml:space="preserve">: </w:t>
      </w:r>
      <w:r w:rsidR="0025674F" w:rsidRPr="00684840">
        <w:t>J [56], [60]</w:t>
      </w:r>
      <w:r w:rsidR="00A358C4" w:rsidRPr="00684840">
        <w:t xml:space="preserve">. </w:t>
      </w:r>
      <w:r w:rsidR="006073C7" w:rsidRPr="00684840">
        <w:t xml:space="preserve">His Honour correctly </w:t>
      </w:r>
      <w:r w:rsidR="00E06BF0" w:rsidRPr="00684840">
        <w:t>identified</w:t>
      </w:r>
      <w:r w:rsidR="00961671" w:rsidRPr="00684840">
        <w:t>,</w:t>
      </w:r>
      <w:r w:rsidR="00E06BF0" w:rsidRPr="00684840">
        <w:t xml:space="preserve"> </w:t>
      </w:r>
      <w:r w:rsidR="00D96244" w:rsidRPr="00684840">
        <w:t>at J</w:t>
      </w:r>
      <w:r w:rsidR="00B90183" w:rsidRPr="00684840">
        <w:t xml:space="preserve"> [</w:t>
      </w:r>
      <w:r w:rsidR="00FF5A85" w:rsidRPr="00684840">
        <w:t>56</w:t>
      </w:r>
      <w:r w:rsidR="00B90183" w:rsidRPr="00684840">
        <w:t>]</w:t>
      </w:r>
      <w:r w:rsidR="00961671" w:rsidRPr="00684840">
        <w:t>,</w:t>
      </w:r>
      <w:r w:rsidR="00B90183" w:rsidRPr="00684840">
        <w:t xml:space="preserve"> </w:t>
      </w:r>
      <w:r w:rsidR="00E06BF0" w:rsidRPr="00684840">
        <w:t>that the Regulation</w:t>
      </w:r>
      <w:r w:rsidR="005A04A6" w:rsidRPr="00684840">
        <w:t>s must be constr</w:t>
      </w:r>
      <w:r w:rsidR="008C2291" w:rsidRPr="00684840">
        <w:t>u</w:t>
      </w:r>
      <w:r w:rsidR="005A04A6" w:rsidRPr="00684840">
        <w:t>ed (as if they were an Act) subject to s 15A</w:t>
      </w:r>
      <w:r w:rsidR="00C44974" w:rsidRPr="00684840">
        <w:t>, stating “</w:t>
      </w:r>
      <w:r w:rsidR="007166C8" w:rsidRPr="00684840">
        <w:t>that the enabling provision must be construed so as not to exceed constitutional power if possible (pursuant to s 15A) and then the regulation must be read so as not to go beyond the enabling provision if possible (pursuant to s 13(1)(c) and (2))</w:t>
      </w:r>
      <w:r w:rsidR="00D37264" w:rsidRPr="00684840">
        <w:t>”</w:t>
      </w:r>
      <w:r w:rsidR="002C5D43" w:rsidRPr="00684840">
        <w:t>.</w:t>
      </w:r>
    </w:p>
    <w:p w14:paraId="7F01E00B" w14:textId="7F557EA6" w:rsidR="00A63FB4" w:rsidRPr="00684840" w:rsidRDefault="00284D8C" w:rsidP="00EB5169">
      <w:pPr>
        <w:pStyle w:val="ParaNumbering"/>
        <w:tabs>
          <w:tab w:val="clear" w:pos="720"/>
        </w:tabs>
      </w:pPr>
      <w:r w:rsidRPr="00684840">
        <w:t xml:space="preserve">As </w:t>
      </w:r>
      <w:r w:rsidR="00AE1B42">
        <w:t xml:space="preserve">mentioned in paragraphs </w:t>
      </w:r>
      <w:r w:rsidR="00780846">
        <w:fldChar w:fldCharType="begin"/>
      </w:r>
      <w:r w:rsidR="00780846">
        <w:instrText xml:space="preserve"> REF _Ref191819273 \r \h </w:instrText>
      </w:r>
      <w:r w:rsidR="00780846">
        <w:fldChar w:fldCharType="separate"/>
      </w:r>
      <w:r w:rsidR="000B3B3D">
        <w:t>44</w:t>
      </w:r>
      <w:r w:rsidR="00780846">
        <w:fldChar w:fldCharType="end"/>
      </w:r>
      <w:r w:rsidR="000F0F5A">
        <w:t>–</w:t>
      </w:r>
      <w:r w:rsidR="00780846">
        <w:fldChar w:fldCharType="begin"/>
      </w:r>
      <w:r w:rsidR="00780846">
        <w:instrText xml:space="preserve"> REF _Ref191819279 \r \h </w:instrText>
      </w:r>
      <w:r w:rsidR="00780846">
        <w:fldChar w:fldCharType="separate"/>
      </w:r>
      <w:r w:rsidR="000B3B3D">
        <w:t>47</w:t>
      </w:r>
      <w:r w:rsidR="00780846">
        <w:fldChar w:fldCharType="end"/>
      </w:r>
      <w:r w:rsidR="00AE1B42">
        <w:t xml:space="preserve"> above, </w:t>
      </w:r>
      <w:r w:rsidR="002C5D43" w:rsidRPr="00684840">
        <w:t>the primary judge</w:t>
      </w:r>
      <w:r w:rsidR="00981807" w:rsidRPr="00684840">
        <w:t xml:space="preserve"> </w:t>
      </w:r>
      <w:r w:rsidR="00AE1B42">
        <w:t xml:space="preserve">considered that the three limitations </w:t>
      </w:r>
      <w:r w:rsidR="009C6C41">
        <w:t xml:space="preserve">identified </w:t>
      </w:r>
      <w:r w:rsidR="007479BF">
        <w:t xml:space="preserve">by the majority </w:t>
      </w:r>
      <w:r w:rsidR="009C6C41">
        <w:t>in</w:t>
      </w:r>
      <w:r w:rsidR="00981807" w:rsidRPr="00684840">
        <w:t xml:space="preserve"> the </w:t>
      </w:r>
      <w:r w:rsidR="00981807" w:rsidRPr="00684840">
        <w:rPr>
          <w:i/>
          <w:iCs/>
        </w:rPr>
        <w:t>Industrial Relations</w:t>
      </w:r>
      <w:r w:rsidR="00107C8C" w:rsidRPr="00684840">
        <w:rPr>
          <w:i/>
          <w:iCs/>
        </w:rPr>
        <w:t xml:space="preserve"> Act</w:t>
      </w:r>
      <w:r w:rsidR="00981807" w:rsidRPr="00684840">
        <w:rPr>
          <w:i/>
          <w:iCs/>
        </w:rPr>
        <w:t xml:space="preserve"> case</w:t>
      </w:r>
      <w:r w:rsidR="00981807" w:rsidRPr="00684840">
        <w:t xml:space="preserve"> at 502</w:t>
      </w:r>
      <w:r w:rsidR="00AC7A5F" w:rsidRPr="00684840">
        <w:t xml:space="preserve"> (Brennan CJ, </w:t>
      </w:r>
      <w:r w:rsidR="00AC7A5F" w:rsidRPr="00684840">
        <w:lastRenderedPageBreak/>
        <w:t xml:space="preserve">Toohey, </w:t>
      </w:r>
      <w:proofErr w:type="spellStart"/>
      <w:r w:rsidR="00AC7A5F" w:rsidRPr="00684840">
        <w:t>Gaudron</w:t>
      </w:r>
      <w:proofErr w:type="spellEnd"/>
      <w:r w:rsidR="00AC7A5F" w:rsidRPr="00684840">
        <w:t>, McHugh and Gummow JJ)</w:t>
      </w:r>
      <w:r w:rsidR="00981807" w:rsidRPr="00684840">
        <w:t>, that may prevent s 15A (or an analogous provision) being applied so as to give a provision a valid operation</w:t>
      </w:r>
      <w:r w:rsidR="0022795A">
        <w:t>,</w:t>
      </w:r>
      <w:r w:rsidR="009C6C41">
        <w:t xml:space="preserve"> did not arise </w:t>
      </w:r>
      <w:r w:rsidR="0022795A">
        <w:t>in the present case</w:t>
      </w:r>
      <w:r w:rsidR="00981807" w:rsidRPr="00684840">
        <w:t xml:space="preserve">. </w:t>
      </w:r>
      <w:r w:rsidR="009B4C86">
        <w:t>In our view, there was no error in his Honour’s conclusions in that regard.</w:t>
      </w:r>
    </w:p>
    <w:p w14:paraId="6BC794C3" w14:textId="33708455" w:rsidR="009B7644" w:rsidRPr="005066A7" w:rsidRDefault="009E3A52" w:rsidP="00755528">
      <w:pPr>
        <w:pStyle w:val="ParaNumbering"/>
        <w:tabs>
          <w:tab w:val="clear" w:pos="720"/>
        </w:tabs>
      </w:pPr>
      <w:r w:rsidRPr="005066A7">
        <w:t xml:space="preserve">The majority in the </w:t>
      </w:r>
      <w:r w:rsidRPr="005066A7">
        <w:rPr>
          <w:i/>
          <w:iCs/>
        </w:rPr>
        <w:t xml:space="preserve">Industrial Relations </w:t>
      </w:r>
      <w:r w:rsidR="00B823FA" w:rsidRPr="005066A7">
        <w:rPr>
          <w:i/>
          <w:iCs/>
        </w:rPr>
        <w:t xml:space="preserve">Act </w:t>
      </w:r>
      <w:r w:rsidRPr="005066A7">
        <w:rPr>
          <w:i/>
          <w:iCs/>
        </w:rPr>
        <w:t>case</w:t>
      </w:r>
      <w:r w:rsidRPr="005066A7">
        <w:t xml:space="preserve"> </w:t>
      </w:r>
      <w:r w:rsidR="00EB5F01" w:rsidRPr="005066A7">
        <w:t>said</w:t>
      </w:r>
      <w:r w:rsidR="00FE1021" w:rsidRPr="005066A7">
        <w:t xml:space="preserve"> that the limitation by reference to which a law is to be read down may appear from the terms of the law or from its subject matter: at 502</w:t>
      </w:r>
      <w:r w:rsidR="00391134">
        <w:t xml:space="preserve"> </w:t>
      </w:r>
      <w:r w:rsidR="00391134" w:rsidRPr="00684840">
        <w:t xml:space="preserve">(Brennan CJ, Toohey, </w:t>
      </w:r>
      <w:proofErr w:type="spellStart"/>
      <w:r w:rsidR="00391134" w:rsidRPr="00684840">
        <w:t>Gaudron</w:t>
      </w:r>
      <w:proofErr w:type="spellEnd"/>
      <w:r w:rsidR="00391134" w:rsidRPr="00684840">
        <w:t>, McHugh and Gummow JJ)</w:t>
      </w:r>
      <w:r w:rsidR="00810148" w:rsidRPr="005066A7">
        <w:t xml:space="preserve">, citing </w:t>
      </w:r>
      <w:proofErr w:type="spellStart"/>
      <w:r w:rsidR="008658AE" w:rsidRPr="005066A7">
        <w:rPr>
          <w:i/>
          <w:iCs/>
        </w:rPr>
        <w:t>Pidoto</w:t>
      </w:r>
      <w:proofErr w:type="spellEnd"/>
      <w:r w:rsidR="008658AE" w:rsidRPr="005066A7">
        <w:rPr>
          <w:i/>
          <w:iCs/>
        </w:rPr>
        <w:t xml:space="preserve"> </w:t>
      </w:r>
      <w:r w:rsidR="008658AE" w:rsidRPr="005066A7">
        <w:t xml:space="preserve">at </w:t>
      </w:r>
      <w:r w:rsidR="00217A4B" w:rsidRPr="005066A7">
        <w:t>109 (Latham CJ)</w:t>
      </w:r>
      <w:r w:rsidR="00C90E80" w:rsidRPr="005066A7">
        <w:t>.</w:t>
      </w:r>
      <w:r w:rsidR="00F1368F" w:rsidRPr="005066A7">
        <w:t xml:space="preserve"> </w:t>
      </w:r>
      <w:r w:rsidR="00B7718F" w:rsidRPr="005066A7">
        <w:t>Similarly, the majority continued, “</w:t>
      </w:r>
      <w:r w:rsidR="00B7718F" w:rsidRPr="00087CA8">
        <w:t xml:space="preserve">where a law is intended to </w:t>
      </w:r>
      <w:r w:rsidR="000C6CAC" w:rsidRPr="00087CA8">
        <w:t>operate in an area where Parliament’s legislative power is subject to a clear limitation, it can be read as subject to that limitation”</w:t>
      </w:r>
      <w:r w:rsidR="000C6CAC" w:rsidRPr="005066A7">
        <w:t>: at 502</w:t>
      </w:r>
      <w:r w:rsidR="00755528" w:rsidRPr="00087CA8">
        <w:t>–</w:t>
      </w:r>
      <w:r w:rsidR="000C6CAC" w:rsidRPr="005066A7">
        <w:t xml:space="preserve">503. </w:t>
      </w:r>
      <w:r w:rsidR="000B23C2" w:rsidRPr="005066A7">
        <w:t>And so, their</w:t>
      </w:r>
      <w:r w:rsidR="00D14AE2" w:rsidRPr="005066A7">
        <w:t xml:space="preserve"> Honours </w:t>
      </w:r>
      <w:r w:rsidR="000B23C2" w:rsidRPr="005066A7">
        <w:t xml:space="preserve">held, </w:t>
      </w:r>
      <w:r w:rsidR="00D14AE2" w:rsidRPr="005066A7">
        <w:t xml:space="preserve">the provision </w:t>
      </w:r>
      <w:r w:rsidR="00F01665" w:rsidRPr="005066A7">
        <w:t xml:space="preserve">that was </w:t>
      </w:r>
      <w:r w:rsidR="00D14AE2" w:rsidRPr="005066A7">
        <w:t>under consideration</w:t>
      </w:r>
      <w:r w:rsidR="00F01665" w:rsidRPr="005066A7">
        <w:t xml:space="preserve"> </w:t>
      </w:r>
      <w:r w:rsidR="000716D7" w:rsidRPr="005066A7">
        <w:t xml:space="preserve">could be read down so as not to infringe the </w:t>
      </w:r>
      <w:r w:rsidR="00F60D8A" w:rsidRPr="005066A7">
        <w:t>limitation on power established</w:t>
      </w:r>
      <w:r w:rsidR="00AB2D6D" w:rsidRPr="005066A7">
        <w:t xml:space="preserve"> </w:t>
      </w:r>
      <w:r w:rsidR="00872950" w:rsidRPr="005066A7">
        <w:t xml:space="preserve">in </w:t>
      </w:r>
      <w:r w:rsidR="00872950" w:rsidRPr="00087CA8">
        <w:rPr>
          <w:b/>
          <w:bCs/>
          <w:i/>
          <w:iCs/>
        </w:rPr>
        <w:t xml:space="preserve">Re </w:t>
      </w:r>
      <w:r w:rsidR="00872950" w:rsidRPr="005066A7">
        <w:rPr>
          <w:b/>
          <w:bCs/>
          <w:i/>
          <w:iCs/>
        </w:rPr>
        <w:t>Australian Education Union</w:t>
      </w:r>
      <w:r w:rsidR="00872950" w:rsidRPr="005066A7">
        <w:rPr>
          <w:i/>
          <w:iCs/>
        </w:rPr>
        <w:t xml:space="preserve">; Ex </w:t>
      </w:r>
      <w:proofErr w:type="spellStart"/>
      <w:r w:rsidR="00872950" w:rsidRPr="005066A7">
        <w:rPr>
          <w:i/>
          <w:iCs/>
        </w:rPr>
        <w:t>parte</w:t>
      </w:r>
      <w:proofErr w:type="spellEnd"/>
      <w:r w:rsidR="00872950" w:rsidRPr="005066A7">
        <w:rPr>
          <w:i/>
          <w:iCs/>
        </w:rPr>
        <w:t xml:space="preserve"> Victoria </w:t>
      </w:r>
      <w:r w:rsidR="00872950" w:rsidRPr="005066A7">
        <w:t xml:space="preserve">(1995) </w:t>
      </w:r>
      <w:r w:rsidR="00181C6D" w:rsidRPr="005066A7">
        <w:t>184 CLR 18</w:t>
      </w:r>
      <w:r w:rsidR="0083283B" w:rsidRPr="00087CA8">
        <w:t>8; [1</w:t>
      </w:r>
      <w:r w:rsidR="00BF1C78" w:rsidRPr="005066A7">
        <w:t>9</w:t>
      </w:r>
      <w:r w:rsidR="0083283B" w:rsidRPr="00087CA8">
        <w:t>95] HCA 71</w:t>
      </w:r>
      <w:r w:rsidR="00181C6D" w:rsidRPr="005066A7">
        <w:t xml:space="preserve"> </w:t>
      </w:r>
      <w:r w:rsidR="00181C6D" w:rsidRPr="00087CA8">
        <w:t>at 231</w:t>
      </w:r>
      <w:r w:rsidR="00D709D5">
        <w:t xml:space="preserve"> (</w:t>
      </w:r>
      <w:r w:rsidR="001E78C1" w:rsidRPr="001E78C1">
        <w:t xml:space="preserve">Mason CJ, Brennan, Deane, Toohey, </w:t>
      </w:r>
      <w:proofErr w:type="spellStart"/>
      <w:r w:rsidR="001E78C1" w:rsidRPr="001E78C1">
        <w:t>Gaudron</w:t>
      </w:r>
      <w:proofErr w:type="spellEnd"/>
      <w:r w:rsidR="001E78C1" w:rsidRPr="001E78C1">
        <w:t xml:space="preserve"> and McHugh JJ</w:t>
      </w:r>
      <w:r w:rsidR="001E78C1">
        <w:t>)</w:t>
      </w:r>
      <w:r w:rsidR="00D474F8" w:rsidRPr="005066A7">
        <w:t xml:space="preserve">. The relevant </w:t>
      </w:r>
      <w:r w:rsidR="007B33E3">
        <w:t>“</w:t>
      </w:r>
      <w:r w:rsidR="00D474F8" w:rsidRPr="005066A7">
        <w:t>limitation</w:t>
      </w:r>
      <w:r w:rsidR="007B33E3">
        <w:t>”</w:t>
      </w:r>
      <w:r w:rsidR="00D474F8" w:rsidRPr="005066A7">
        <w:t xml:space="preserve"> imposed by </w:t>
      </w:r>
      <w:r w:rsidR="0083283B" w:rsidRPr="005066A7">
        <w:rPr>
          <w:i/>
          <w:iCs/>
        </w:rPr>
        <w:t xml:space="preserve">Re </w:t>
      </w:r>
      <w:r w:rsidR="00D474F8" w:rsidRPr="005066A7">
        <w:rPr>
          <w:i/>
          <w:iCs/>
        </w:rPr>
        <w:t>Australian Education Union</w:t>
      </w:r>
      <w:r w:rsidR="00D474F8" w:rsidRPr="005066A7">
        <w:t xml:space="preserve"> was “the prohibition against laws of general application which operate to destroy or curtail the continued existence of the States or their capacity to function as governments”: </w:t>
      </w:r>
      <w:r w:rsidR="00D474F8" w:rsidRPr="00087CA8">
        <w:t xml:space="preserve">at </w:t>
      </w:r>
      <w:r w:rsidR="009A7A3E" w:rsidRPr="00087CA8">
        <w:t>231</w:t>
      </w:r>
      <w:r w:rsidR="00D474F8" w:rsidRPr="00087CA8">
        <w:t>.</w:t>
      </w:r>
      <w:r w:rsidR="00C7214C" w:rsidRPr="005066A7">
        <w:t xml:space="preserve"> </w:t>
      </w:r>
      <w:r w:rsidR="00950EC9" w:rsidRPr="005066A7">
        <w:t xml:space="preserve">As a result, the provision of the legislation under consideration </w:t>
      </w:r>
      <w:r w:rsidR="00D96244" w:rsidRPr="005066A7">
        <w:t xml:space="preserve">in the </w:t>
      </w:r>
      <w:r w:rsidR="00D96244" w:rsidRPr="005066A7">
        <w:rPr>
          <w:i/>
          <w:iCs/>
        </w:rPr>
        <w:t>Industrial Relations Act case</w:t>
      </w:r>
      <w:r w:rsidR="00D96244" w:rsidRPr="005066A7">
        <w:t xml:space="preserve"> </w:t>
      </w:r>
      <w:r w:rsidR="00950EC9" w:rsidRPr="005066A7">
        <w:t>was held to bind</w:t>
      </w:r>
      <w:r w:rsidR="00C7214C" w:rsidRPr="005066A7">
        <w:t xml:space="preserve"> the States to the extent that the provisions </w:t>
      </w:r>
      <w:r w:rsidR="003F21AB" w:rsidRPr="005066A7">
        <w:t xml:space="preserve">of the legislation </w:t>
      </w:r>
      <w:r w:rsidR="00C7214C" w:rsidRPr="005066A7">
        <w:t xml:space="preserve">do not prevent </w:t>
      </w:r>
      <w:r w:rsidR="003F21AB" w:rsidRPr="005066A7">
        <w:t>the States</w:t>
      </w:r>
      <w:r w:rsidR="00C7214C" w:rsidRPr="005066A7">
        <w:t xml:space="preserve"> from determi</w:t>
      </w:r>
      <w:r w:rsidR="00DD3C68" w:rsidRPr="005066A7">
        <w:t>ni</w:t>
      </w:r>
      <w:r w:rsidR="00C7214C" w:rsidRPr="005066A7">
        <w:t>ng the number of persons they wish to employ, the term of their appointment</w:t>
      </w:r>
      <w:r w:rsidR="00330F1E" w:rsidRPr="005066A7">
        <w:t>,</w:t>
      </w:r>
      <w:r w:rsidR="00DD3C68" w:rsidRPr="005066A7">
        <w:t xml:space="preserve"> </w:t>
      </w:r>
      <w:r w:rsidR="0086377E" w:rsidRPr="005066A7">
        <w:t>the number and identity of those they wish to dismiss on redundancy grounds</w:t>
      </w:r>
      <w:r w:rsidR="00330F1E" w:rsidRPr="005066A7">
        <w:t>,</w:t>
      </w:r>
      <w:r w:rsidR="0086377E" w:rsidRPr="005066A7">
        <w:t xml:space="preserve"> and the terms and conditions of those employed at the higher levels of government</w:t>
      </w:r>
      <w:r w:rsidR="009B7644" w:rsidRPr="005066A7">
        <w:t>.</w:t>
      </w:r>
    </w:p>
    <w:p w14:paraId="7E4761DB" w14:textId="124FA5E9" w:rsidR="00A10F0A" w:rsidRPr="00684840" w:rsidRDefault="00C03144" w:rsidP="00E951E2">
      <w:pPr>
        <w:pStyle w:val="ParaNumbering"/>
        <w:tabs>
          <w:tab w:val="clear" w:pos="720"/>
        </w:tabs>
      </w:pPr>
      <w:r>
        <w:t xml:space="preserve">The High Court came to a </w:t>
      </w:r>
      <w:r w:rsidR="00B53D94">
        <w:t>similar result in</w:t>
      </w:r>
      <w:r w:rsidR="000C0311">
        <w:t xml:space="preserve"> the </w:t>
      </w:r>
      <w:r w:rsidR="00417AFB">
        <w:t xml:space="preserve">earlier </w:t>
      </w:r>
      <w:r w:rsidR="000C0311">
        <w:t>decision in</w:t>
      </w:r>
      <w:r w:rsidR="00B53D94">
        <w:t xml:space="preserve"> </w:t>
      </w:r>
      <w:r w:rsidR="00474EE8" w:rsidRPr="00087CA8">
        <w:rPr>
          <w:b/>
          <w:bCs/>
          <w:i/>
          <w:iCs/>
        </w:rPr>
        <w:t>Bourke</w:t>
      </w:r>
      <w:r w:rsidR="002F0D63" w:rsidRPr="0083283B">
        <w:rPr>
          <w:i/>
          <w:iCs/>
        </w:rPr>
        <w:t xml:space="preserve"> v State Bank of New South Wales </w:t>
      </w:r>
      <w:r w:rsidR="002F0D63" w:rsidRPr="0083283B">
        <w:t>(1990) 170 CLR 276; [1990] HCA 29</w:t>
      </w:r>
      <w:r w:rsidR="00BE0F7A">
        <w:t xml:space="preserve">, </w:t>
      </w:r>
      <w:r w:rsidR="00B53D94">
        <w:t xml:space="preserve">where </w:t>
      </w:r>
      <w:r w:rsidR="00BE0F7A">
        <w:t xml:space="preserve">the Court held that the substantive provisions of the </w:t>
      </w:r>
      <w:r w:rsidR="00BE0F7A">
        <w:rPr>
          <w:i/>
          <w:iCs/>
        </w:rPr>
        <w:t>Trade Practices Act</w:t>
      </w:r>
      <w:r w:rsidR="001E78C1">
        <w:rPr>
          <w:i/>
          <w:iCs/>
        </w:rPr>
        <w:t xml:space="preserve"> 1974 </w:t>
      </w:r>
      <w:r w:rsidR="001E78C1">
        <w:t>(Cth)</w:t>
      </w:r>
      <w:r w:rsidR="00BE0F7A">
        <w:rPr>
          <w:i/>
          <w:iCs/>
        </w:rPr>
        <w:t xml:space="preserve"> </w:t>
      </w:r>
      <w:r w:rsidR="00BE0F7A">
        <w:t xml:space="preserve">could be read down so as not to apply to the conduct of financial corporations to the extent that they are engaged in State banking not extending beyond the limits of the State </w:t>
      </w:r>
      <w:r w:rsidR="00BE0F7A" w:rsidRPr="00684840">
        <w:t>concerned</w:t>
      </w:r>
      <w:r w:rsidR="00D635BE" w:rsidRPr="00684840">
        <w:t>, thus giving the</w:t>
      </w:r>
      <w:r w:rsidR="008B28DC" w:rsidRPr="00684840">
        <w:t xml:space="preserve"> provisions</w:t>
      </w:r>
      <w:r w:rsidR="00D635BE" w:rsidRPr="00684840">
        <w:t xml:space="preserve"> validity within the constitutionally supported field of operation</w:t>
      </w:r>
      <w:r w:rsidR="00E041F4" w:rsidRPr="00684840">
        <w:t xml:space="preserve">: at 291 (Mason CJ, Brennan, Deane, Dawson, Toohey, </w:t>
      </w:r>
      <w:proofErr w:type="spellStart"/>
      <w:r w:rsidR="00E041F4" w:rsidRPr="00684840">
        <w:t>Gaudron</w:t>
      </w:r>
      <w:proofErr w:type="spellEnd"/>
      <w:r w:rsidR="00E041F4" w:rsidRPr="00684840">
        <w:t xml:space="preserve"> and McHugh JJ)</w:t>
      </w:r>
      <w:r w:rsidR="00406E0E" w:rsidRPr="00684840">
        <w:t>.</w:t>
      </w:r>
    </w:p>
    <w:p w14:paraId="7115B67B" w14:textId="56F7553E" w:rsidR="008662BF" w:rsidRDefault="00FE40B1" w:rsidP="00E951E2">
      <w:pPr>
        <w:pStyle w:val="ParaNumbering"/>
        <w:tabs>
          <w:tab w:val="clear" w:pos="720"/>
        </w:tabs>
      </w:pPr>
      <w:proofErr w:type="gramStart"/>
      <w:r w:rsidRPr="00684840">
        <w:t>Subsequent to</w:t>
      </w:r>
      <w:proofErr w:type="gramEnd"/>
      <w:r w:rsidRPr="00684840">
        <w:t xml:space="preserve"> </w:t>
      </w:r>
      <w:r w:rsidRPr="00684840">
        <w:rPr>
          <w:i/>
          <w:iCs/>
        </w:rPr>
        <w:t>Bourke</w:t>
      </w:r>
      <w:r w:rsidRPr="00684840">
        <w:t xml:space="preserve">, the High Court in </w:t>
      </w:r>
      <w:r w:rsidR="00AF04B9">
        <w:rPr>
          <w:i/>
          <w:iCs/>
        </w:rPr>
        <w:t xml:space="preserve">Re </w:t>
      </w:r>
      <w:r w:rsidR="004D62D0" w:rsidRPr="000927BA">
        <w:rPr>
          <w:b/>
          <w:bCs/>
          <w:i/>
          <w:iCs/>
        </w:rPr>
        <w:t>Nolan</w:t>
      </w:r>
      <w:r w:rsidR="00E91802">
        <w:rPr>
          <w:i/>
          <w:iCs/>
        </w:rPr>
        <w:t xml:space="preserve">; </w:t>
      </w:r>
      <w:r w:rsidR="00CC2DF5">
        <w:rPr>
          <w:i/>
          <w:iCs/>
        </w:rPr>
        <w:t>E</w:t>
      </w:r>
      <w:r w:rsidR="00E91802">
        <w:rPr>
          <w:i/>
          <w:iCs/>
        </w:rPr>
        <w:t xml:space="preserve">x </w:t>
      </w:r>
      <w:proofErr w:type="spellStart"/>
      <w:r w:rsidR="00E91802">
        <w:rPr>
          <w:i/>
          <w:iCs/>
        </w:rPr>
        <w:t>parte</w:t>
      </w:r>
      <w:proofErr w:type="spellEnd"/>
      <w:r w:rsidR="00E91802">
        <w:rPr>
          <w:i/>
          <w:iCs/>
        </w:rPr>
        <w:t xml:space="preserve"> Young </w:t>
      </w:r>
      <w:r w:rsidR="00E91802">
        <w:t>(1991) 172 CLR 460; [1991] HCA 29</w:t>
      </w:r>
      <w:r w:rsidR="006C212C">
        <w:t xml:space="preserve"> </w:t>
      </w:r>
      <w:r w:rsidR="004F6E4D" w:rsidRPr="00684840">
        <w:t xml:space="preserve">considered whether the provisions of the </w:t>
      </w:r>
      <w:r w:rsidR="004F6E4D" w:rsidRPr="00684840">
        <w:rPr>
          <w:i/>
          <w:iCs/>
        </w:rPr>
        <w:t xml:space="preserve">Defence Force </w:t>
      </w:r>
      <w:r w:rsidR="004F6E4D" w:rsidRPr="00684840">
        <w:rPr>
          <w:b/>
          <w:bCs/>
          <w:i/>
          <w:iCs/>
        </w:rPr>
        <w:t>Discipline Act</w:t>
      </w:r>
      <w:r w:rsidR="004F6E4D" w:rsidRPr="00684840">
        <w:rPr>
          <w:i/>
          <w:iCs/>
        </w:rPr>
        <w:t xml:space="preserve"> 1982</w:t>
      </w:r>
      <w:r w:rsidR="004F6E4D" w:rsidRPr="00684840">
        <w:t xml:space="preserve"> (Cth) that subjected defence force members to the jurisdiction of </w:t>
      </w:r>
      <w:r w:rsidR="00207A36">
        <w:t>a</w:t>
      </w:r>
      <w:r w:rsidR="004F6E4D" w:rsidRPr="00684840">
        <w:t xml:space="preserve"> military tribunal were supported by the defence power in s 51(vi) of the </w:t>
      </w:r>
      <w:r w:rsidR="004F6E4D" w:rsidRPr="00C20FF2">
        <w:rPr>
          <w:i/>
          <w:iCs/>
        </w:rPr>
        <w:t>Constitution</w:t>
      </w:r>
      <w:r w:rsidR="00E754AA">
        <w:t xml:space="preserve">. </w:t>
      </w:r>
      <w:r w:rsidR="00910F95" w:rsidRPr="00684840">
        <w:t xml:space="preserve">A </w:t>
      </w:r>
      <w:r w:rsidR="006A635B" w:rsidRPr="00684840">
        <w:t>member of the defence forces was charged with a “service offence”</w:t>
      </w:r>
      <w:r w:rsidR="005D6246">
        <w:t xml:space="preserve"> and challenged the military tribunal</w:t>
      </w:r>
      <w:r w:rsidR="00EF0F2D">
        <w:t>’</w:t>
      </w:r>
      <w:r w:rsidR="005D6246">
        <w:t xml:space="preserve">s jurisdiction to try </w:t>
      </w:r>
      <w:r w:rsidR="005D6246">
        <w:lastRenderedPageBreak/>
        <w:t>the charges</w:t>
      </w:r>
      <w:r w:rsidR="006A635B" w:rsidRPr="00684840">
        <w:t xml:space="preserve">, </w:t>
      </w:r>
      <w:r w:rsidR="00EF0F2D">
        <w:t xml:space="preserve">arguing that the </w:t>
      </w:r>
      <w:r w:rsidR="000F035A">
        <w:t xml:space="preserve">alleged </w:t>
      </w:r>
      <w:r w:rsidR="00E754AA">
        <w:t>offence</w:t>
      </w:r>
      <w:r w:rsidR="00EF0F2D">
        <w:t xml:space="preserve"> </w:t>
      </w:r>
      <w:r w:rsidR="006A635B" w:rsidRPr="00684840">
        <w:t xml:space="preserve">was contrary to comparable provisions of the </w:t>
      </w:r>
      <w:r w:rsidR="006A635B" w:rsidRPr="00684840">
        <w:rPr>
          <w:i/>
          <w:iCs/>
        </w:rPr>
        <w:t xml:space="preserve">Crimes Act 1914 </w:t>
      </w:r>
      <w:r w:rsidR="006A635B" w:rsidRPr="00684840">
        <w:t>(Cth)</w:t>
      </w:r>
      <w:r w:rsidR="009E55FD">
        <w:t xml:space="preserve"> </w:t>
      </w:r>
      <w:r w:rsidR="000F035A">
        <w:t>and should have been tried under civilian law</w:t>
      </w:r>
      <w:r w:rsidR="002F0E25" w:rsidRPr="00684840">
        <w:t xml:space="preserve">. </w:t>
      </w:r>
      <w:r w:rsidR="002D2B85" w:rsidRPr="00684840">
        <w:t xml:space="preserve">The </w:t>
      </w:r>
      <w:r w:rsidR="001D611F" w:rsidRPr="00684840">
        <w:t xml:space="preserve">majority held that the </w:t>
      </w:r>
      <w:r w:rsidR="002D2B85" w:rsidRPr="00684840">
        <w:t>military</w:t>
      </w:r>
      <w:r w:rsidR="001D611F" w:rsidRPr="00684840">
        <w:t xml:space="preserve"> tribunal had jurisdiction to hear the charges</w:t>
      </w:r>
      <w:r w:rsidR="00025784" w:rsidRPr="00684840">
        <w:t xml:space="preserve">: </w:t>
      </w:r>
      <w:r w:rsidR="00025784" w:rsidRPr="00087CA8">
        <w:t xml:space="preserve">at </w:t>
      </w:r>
      <w:r w:rsidR="00002152" w:rsidRPr="00087CA8">
        <w:t>475</w:t>
      </w:r>
      <w:r w:rsidR="005E055E" w:rsidRPr="00087CA8">
        <w:t xml:space="preserve"> (Mason CJ and Dawson J) and</w:t>
      </w:r>
      <w:r w:rsidR="003350F4" w:rsidRPr="00087CA8">
        <w:t xml:space="preserve"> 489</w:t>
      </w:r>
      <w:r w:rsidR="005E055E" w:rsidRPr="00087CA8">
        <w:t xml:space="preserve"> (Brennan and Toohey JJ)</w:t>
      </w:r>
      <w:r w:rsidR="001D611F" w:rsidRPr="00087CA8">
        <w:t>.</w:t>
      </w:r>
    </w:p>
    <w:p w14:paraId="7368F868" w14:textId="5956C6CE" w:rsidR="00496216" w:rsidRPr="00684840" w:rsidRDefault="001D611F" w:rsidP="00E951E2">
      <w:pPr>
        <w:pStyle w:val="ParaNumbering"/>
        <w:tabs>
          <w:tab w:val="clear" w:pos="720"/>
        </w:tabs>
      </w:pPr>
      <w:r w:rsidRPr="00684840">
        <w:t>Mason</w:t>
      </w:r>
      <w:r w:rsidR="00E754AA">
        <w:t> </w:t>
      </w:r>
      <w:r w:rsidRPr="00684840">
        <w:t>CJ and Dawson J</w:t>
      </w:r>
      <w:r w:rsidR="007B34C4" w:rsidRPr="00684840">
        <w:t xml:space="preserve">, </w:t>
      </w:r>
      <w:r w:rsidR="00565213" w:rsidRPr="00684840">
        <w:t>at 474</w:t>
      </w:r>
      <w:r w:rsidR="00B5293B" w:rsidRPr="00684840">
        <w:t>–475</w:t>
      </w:r>
      <w:r w:rsidR="007B34C4" w:rsidRPr="00684840">
        <w:t>,</w:t>
      </w:r>
      <w:r w:rsidR="004F55FB" w:rsidRPr="00684840">
        <w:t xml:space="preserve"> </w:t>
      </w:r>
      <w:r w:rsidR="0007426C" w:rsidRPr="00684840">
        <w:t>considered</w:t>
      </w:r>
      <w:r w:rsidR="00565213" w:rsidRPr="00684840">
        <w:t xml:space="preserve"> </w:t>
      </w:r>
      <w:r w:rsidRPr="00684840">
        <w:t>that</w:t>
      </w:r>
      <w:r w:rsidR="00FE40B1" w:rsidRPr="00684840">
        <w:t>,</w:t>
      </w:r>
      <w:r w:rsidRPr="00684840">
        <w:t xml:space="preserve"> </w:t>
      </w:r>
      <w:r w:rsidR="00B27F6E" w:rsidRPr="00684840">
        <w:t xml:space="preserve">provided the proscribed conduct </w:t>
      </w:r>
      <w:r w:rsidR="00025784" w:rsidRPr="00684840">
        <w:t>was</w:t>
      </w:r>
      <w:r w:rsidR="00B27F6E" w:rsidRPr="00684840">
        <w:t xml:space="preserve"> sufficiently connected with the regulation of the defence forces and good order and </w:t>
      </w:r>
      <w:r w:rsidR="00565213" w:rsidRPr="00684840">
        <w:t>discipline</w:t>
      </w:r>
      <w:r w:rsidR="00B27F6E" w:rsidRPr="00684840">
        <w:t xml:space="preserve"> of members, </w:t>
      </w:r>
      <w:r w:rsidRPr="00684840">
        <w:t xml:space="preserve">it was open to Parliament to provide that any conduct that constitutes a civil offence shall constitute a service offence </w:t>
      </w:r>
      <w:r w:rsidR="00565213" w:rsidRPr="00684840">
        <w:t xml:space="preserve">and such a law would be valid </w:t>
      </w:r>
      <w:r w:rsidRPr="00684840">
        <w:t>and triable by a service tribunal.</w:t>
      </w:r>
    </w:p>
    <w:p w14:paraId="2389B46B" w14:textId="693FCD57" w:rsidR="00557779" w:rsidRPr="00684840" w:rsidRDefault="00265B62" w:rsidP="00192B69">
      <w:pPr>
        <w:pStyle w:val="ParaNumbering"/>
        <w:tabs>
          <w:tab w:val="clear" w:pos="720"/>
        </w:tabs>
      </w:pPr>
      <w:r w:rsidRPr="00684840">
        <w:t>Brennan and Toohey JJ</w:t>
      </w:r>
      <w:r w:rsidR="007B34C4" w:rsidRPr="00684840">
        <w:t xml:space="preserve">, </w:t>
      </w:r>
      <w:r w:rsidR="00860A86" w:rsidRPr="00684840">
        <w:t>at 485</w:t>
      </w:r>
      <w:r w:rsidR="00192B69" w:rsidRPr="00684840">
        <w:t>–</w:t>
      </w:r>
      <w:r w:rsidR="00860A86" w:rsidRPr="00684840">
        <w:t>486</w:t>
      </w:r>
      <w:r w:rsidR="007B34C4" w:rsidRPr="00684840">
        <w:t>,</w:t>
      </w:r>
      <w:r w:rsidR="00860A86" w:rsidRPr="00684840">
        <w:t xml:space="preserve"> </w:t>
      </w:r>
      <w:r w:rsidR="009F7990" w:rsidRPr="00684840">
        <w:t>considered</w:t>
      </w:r>
      <w:r w:rsidR="004F55FB" w:rsidRPr="00684840">
        <w:t xml:space="preserve"> </w:t>
      </w:r>
      <w:r w:rsidRPr="00684840">
        <w:t xml:space="preserve">that </w:t>
      </w:r>
      <w:r w:rsidR="00A33BAE" w:rsidRPr="00684840">
        <w:t xml:space="preserve">where a law operates </w:t>
      </w:r>
      <w:proofErr w:type="spellStart"/>
      <w:r w:rsidR="00A33BAE" w:rsidRPr="00684840">
        <w:t>distributively</w:t>
      </w:r>
      <w:proofErr w:type="spellEnd"/>
      <w:r w:rsidR="00A33BAE" w:rsidRPr="00684840">
        <w:t>, on a literal construction</w:t>
      </w:r>
      <w:r w:rsidR="001F23B9" w:rsidRPr="00684840">
        <w:t>, and</w:t>
      </w:r>
      <w:r w:rsidR="00A33BAE" w:rsidRPr="00684840">
        <w:t xml:space="preserve"> embraces cases which are beyond legislative power, s 15A can restrict its operation to cases which are within power provided certain conditions are met</w:t>
      </w:r>
      <w:r w:rsidR="00522E7F" w:rsidRPr="00684840">
        <w:t>. F</w:t>
      </w:r>
      <w:r w:rsidR="00A33BAE" w:rsidRPr="00684840">
        <w:t>irst, it is necessary that “the law itself indicates a standard or test which may be applied for the purpose of limiting, and thereby preserving the validity of, the law”</w:t>
      </w:r>
      <w:r w:rsidR="00522E7F" w:rsidRPr="00684840">
        <w:t xml:space="preserve">: </w:t>
      </w:r>
      <w:proofErr w:type="spellStart"/>
      <w:r w:rsidR="00A33BAE" w:rsidRPr="00684840">
        <w:rPr>
          <w:i/>
          <w:iCs/>
        </w:rPr>
        <w:t>Pidoto</w:t>
      </w:r>
      <w:proofErr w:type="spellEnd"/>
      <w:r w:rsidR="00A33BAE" w:rsidRPr="00684840">
        <w:rPr>
          <w:i/>
          <w:iCs/>
        </w:rPr>
        <w:t xml:space="preserve"> </w:t>
      </w:r>
      <w:r w:rsidR="00A33BAE" w:rsidRPr="00684840">
        <w:t>at 109 (Latham CJ)</w:t>
      </w:r>
      <w:r w:rsidR="00522E7F" w:rsidRPr="00684840">
        <w:t>. S</w:t>
      </w:r>
      <w:r w:rsidR="00A33BAE" w:rsidRPr="00684840">
        <w:t>econd</w:t>
      </w:r>
      <w:r w:rsidR="001F0B0A">
        <w:t>ly</w:t>
      </w:r>
      <w:r w:rsidR="00A33BAE" w:rsidRPr="00684840">
        <w:t xml:space="preserve">, </w:t>
      </w:r>
      <w:r w:rsidR="00334313">
        <w:t>it is necessary that</w:t>
      </w:r>
      <w:r w:rsidR="00FC3573">
        <w:t xml:space="preserve"> </w:t>
      </w:r>
      <w:r w:rsidR="00B253F9" w:rsidRPr="00684840">
        <w:t xml:space="preserve">the operation of the law upon the subjects within power is not changed by placing a limited construction upon </w:t>
      </w:r>
      <w:r w:rsidR="0088371E" w:rsidRPr="00684840">
        <w:t xml:space="preserve">the law: </w:t>
      </w:r>
      <w:r w:rsidR="0088371E" w:rsidRPr="0083283B">
        <w:rPr>
          <w:i/>
          <w:iCs/>
        </w:rPr>
        <w:t xml:space="preserve">Strickland v Rocla Concrete Pipes Ltd </w:t>
      </w:r>
      <w:r w:rsidR="0088371E" w:rsidRPr="0083283B">
        <w:t>(1971) 124 CLR 468</w:t>
      </w:r>
      <w:r w:rsidR="00AA41DE">
        <w:t xml:space="preserve">; </w:t>
      </w:r>
      <w:r w:rsidR="00AA41DE" w:rsidRPr="00AA41DE">
        <w:t>[1971] HCA 40</w:t>
      </w:r>
      <w:r w:rsidR="0088371E" w:rsidRPr="00684840">
        <w:t xml:space="preserve"> at 493</w:t>
      </w:r>
      <w:r w:rsidR="0088371E" w:rsidRPr="00684840">
        <w:rPr>
          <w:i/>
          <w:iCs/>
        </w:rPr>
        <w:t xml:space="preserve"> </w:t>
      </w:r>
      <w:r w:rsidR="0088371E" w:rsidRPr="00684840">
        <w:t>(Barwick CJ)</w:t>
      </w:r>
      <w:r w:rsidR="00E26336" w:rsidRPr="00684840">
        <w:t>.</w:t>
      </w:r>
      <w:r w:rsidR="00881239">
        <w:t xml:space="preserve"> </w:t>
      </w:r>
      <w:r w:rsidR="00881239" w:rsidRPr="00684840">
        <w:t xml:space="preserve">Their Honours held that the relevant provisions of the Discipline Act could be read down by resort to s 15A so that the powers conferred by them were able to be exercised only for the purpose of maintaining and enforcing military discipline: at </w:t>
      </w:r>
      <w:r w:rsidR="00881239" w:rsidRPr="00FA5342">
        <w:t>487</w:t>
      </w:r>
      <w:r w:rsidR="001F0B0A">
        <w:t xml:space="preserve"> (Brennan and Toohey JJ)</w:t>
      </w:r>
      <w:r w:rsidR="00881239" w:rsidRPr="00FA5342">
        <w:t>.</w:t>
      </w:r>
    </w:p>
    <w:p w14:paraId="1E53D5B7" w14:textId="516309BC" w:rsidR="003C0CA6" w:rsidRPr="00547D61" w:rsidRDefault="00B0774F" w:rsidP="00547D61">
      <w:pPr>
        <w:pStyle w:val="ParaNumbering"/>
        <w:tabs>
          <w:tab w:val="clear" w:pos="720"/>
        </w:tabs>
        <w:rPr>
          <w:rFonts w:ascii="Times-Roman" w:hAnsi="Times-Roman" w:cs="Times-Roman"/>
          <w:sz w:val="18"/>
          <w:szCs w:val="18"/>
          <w:lang w:eastAsia="en-AU"/>
        </w:rPr>
      </w:pPr>
      <w:r w:rsidRPr="00684840">
        <w:t xml:space="preserve">More recently in </w:t>
      </w:r>
      <w:proofErr w:type="spellStart"/>
      <w:r w:rsidR="00140861" w:rsidRPr="00087CA8">
        <w:rPr>
          <w:i/>
          <w:iCs/>
        </w:rPr>
        <w:t>Taj</w:t>
      </w:r>
      <w:r w:rsidR="003E17F2" w:rsidRPr="00087CA8">
        <w:rPr>
          <w:i/>
          <w:iCs/>
        </w:rPr>
        <w:t>j</w:t>
      </w:r>
      <w:r w:rsidR="00140861" w:rsidRPr="00087CA8">
        <w:rPr>
          <w:i/>
          <w:iCs/>
        </w:rPr>
        <w:t>our</w:t>
      </w:r>
      <w:proofErr w:type="spellEnd"/>
      <w:r w:rsidRPr="00684840">
        <w:t xml:space="preserve">, the appellants </w:t>
      </w:r>
      <w:r w:rsidR="003D156A" w:rsidRPr="00684840">
        <w:t xml:space="preserve">had </w:t>
      </w:r>
      <w:r w:rsidRPr="00684840">
        <w:t>brought proceedings challenging the validity of s</w:t>
      </w:r>
      <w:r w:rsidR="00FF0D68">
        <w:t> </w:t>
      </w:r>
      <w:r w:rsidRPr="00684840">
        <w:t>93</w:t>
      </w:r>
      <w:proofErr w:type="gramStart"/>
      <w:r w:rsidRPr="00684840">
        <w:t>X(</w:t>
      </w:r>
      <w:proofErr w:type="gramEnd"/>
      <w:r w:rsidRPr="00684840">
        <w:t xml:space="preserve">1) of the </w:t>
      </w:r>
      <w:r w:rsidRPr="00684840">
        <w:rPr>
          <w:i/>
          <w:iCs/>
        </w:rPr>
        <w:t>Crimes Act 1900</w:t>
      </w:r>
      <w:r w:rsidRPr="00684840">
        <w:t xml:space="preserve"> (NSW), which concerned the offence of consorting. The appellants contended that s 93X was invalid because it impermissibly burdened the implied freedom of communication on governmental and political matters, contrary to the </w:t>
      </w:r>
      <w:r w:rsidRPr="00C20FF2">
        <w:rPr>
          <w:i/>
          <w:iCs/>
        </w:rPr>
        <w:t>Constitution</w:t>
      </w:r>
      <w:r w:rsidRPr="00684840">
        <w:t xml:space="preserve">. </w:t>
      </w:r>
      <w:r w:rsidR="00553A08">
        <w:t xml:space="preserve">The majority held </w:t>
      </w:r>
      <w:r w:rsidR="00553A08" w:rsidRPr="00301F29">
        <w:t xml:space="preserve">that s 93X did not infringe the implied freedom of political communication: at </w:t>
      </w:r>
      <w:r w:rsidR="00321D19">
        <w:t>566</w:t>
      </w:r>
      <w:r w:rsidR="00547D61">
        <w:t>–</w:t>
      </w:r>
      <w:r w:rsidR="00321D19">
        <w:t>567</w:t>
      </w:r>
      <w:r w:rsidR="00DA1E29" w:rsidRPr="00301F29">
        <w:t xml:space="preserve"> (Hayne</w:t>
      </w:r>
      <w:r w:rsidR="00321D19">
        <w:t xml:space="preserve"> J)</w:t>
      </w:r>
      <w:r w:rsidR="00DA1E29" w:rsidRPr="00301F29">
        <w:t xml:space="preserve">, </w:t>
      </w:r>
      <w:r w:rsidR="00321D19">
        <w:t>575 (</w:t>
      </w:r>
      <w:r w:rsidR="00DA1E29" w:rsidRPr="00301F29">
        <w:t>Crennan, Kiefel</w:t>
      </w:r>
      <w:r w:rsidR="00321D19">
        <w:t xml:space="preserve"> and</w:t>
      </w:r>
      <w:r w:rsidR="00DA1E29" w:rsidRPr="00301F29">
        <w:t xml:space="preserve"> Bell</w:t>
      </w:r>
      <w:r w:rsidR="00321D19">
        <w:t xml:space="preserve"> JJ)</w:t>
      </w:r>
      <w:r w:rsidR="00DA1E29" w:rsidRPr="00301F29">
        <w:t xml:space="preserve"> and </w:t>
      </w:r>
      <w:r w:rsidR="00333FC7">
        <w:t>60</w:t>
      </w:r>
      <w:r w:rsidR="00746AD8">
        <w:t>4–</w:t>
      </w:r>
      <w:r w:rsidR="00333FC7">
        <w:t>605 (</w:t>
      </w:r>
      <w:r w:rsidR="00DA1E29" w:rsidRPr="00301F29">
        <w:t>Keane J)</w:t>
      </w:r>
      <w:r w:rsidR="003F4441" w:rsidRPr="00547D61">
        <w:rPr>
          <w:rFonts w:ascii="Times-Roman" w:hAnsi="Times-Roman" w:cs="Times-Roman"/>
          <w:sz w:val="18"/>
          <w:szCs w:val="18"/>
          <w:lang w:eastAsia="en-AU"/>
        </w:rPr>
        <w:t>.</w:t>
      </w:r>
      <w:r w:rsidR="00D8553A" w:rsidRPr="00547D61">
        <w:rPr>
          <w:rFonts w:ascii="Times-Roman" w:hAnsi="Times-Roman" w:cs="Times-Roman"/>
          <w:sz w:val="18"/>
          <w:szCs w:val="18"/>
          <w:lang w:eastAsia="en-AU"/>
        </w:rPr>
        <w:t xml:space="preserve"> </w:t>
      </w:r>
      <w:r w:rsidR="003F4441">
        <w:t>Their Honours reached that</w:t>
      </w:r>
      <w:r w:rsidR="001B2D94">
        <w:t xml:space="preserve"> </w:t>
      </w:r>
      <w:r w:rsidR="00342D99" w:rsidRPr="00333FC7">
        <w:t>conclusion</w:t>
      </w:r>
      <w:r w:rsidR="003F4441" w:rsidRPr="00301F29">
        <w:t xml:space="preserve"> </w:t>
      </w:r>
      <w:r w:rsidR="00342D99" w:rsidRPr="00333FC7">
        <w:t xml:space="preserve">as a matter of </w:t>
      </w:r>
      <w:r w:rsidR="001B2D94" w:rsidRPr="00333FC7">
        <w:t>statutory construction</w:t>
      </w:r>
      <w:r w:rsidR="00342D99" w:rsidRPr="00333FC7">
        <w:t xml:space="preserve"> and</w:t>
      </w:r>
      <w:r w:rsidR="00C55C2D">
        <w:t xml:space="preserve"> </w:t>
      </w:r>
      <w:r w:rsidR="00D8553A" w:rsidRPr="00301F29">
        <w:t>did not consider the validity of the provision as a process of reading down the provision</w:t>
      </w:r>
      <w:r w:rsidR="00444773" w:rsidRPr="00301F29">
        <w:t>.</w:t>
      </w:r>
    </w:p>
    <w:p w14:paraId="42CF9A99" w14:textId="16A6625B" w:rsidR="00B0774F" w:rsidRPr="005159AA" w:rsidRDefault="00B0774F" w:rsidP="005159AA">
      <w:pPr>
        <w:pStyle w:val="ParaNumbering"/>
        <w:tabs>
          <w:tab w:val="clear" w:pos="720"/>
        </w:tabs>
      </w:pPr>
      <w:r w:rsidRPr="00684840" w:rsidDel="00926573">
        <w:t xml:space="preserve">French CJ, who was in the minority, at [52], stated that the State’s equivalent of s 15A could not be used to read </w:t>
      </w:r>
      <w:proofErr w:type="spellStart"/>
      <w:r w:rsidRPr="00684840" w:rsidDel="00926573">
        <w:t>down s</w:t>
      </w:r>
      <w:proofErr w:type="spellEnd"/>
      <w:r w:rsidRPr="00684840" w:rsidDel="00926573">
        <w:t xml:space="preserve"> 93X </w:t>
      </w:r>
      <w:proofErr w:type="gramStart"/>
      <w:r w:rsidRPr="00684840" w:rsidDel="00926573">
        <w:t>so as to</w:t>
      </w:r>
      <w:proofErr w:type="gramEnd"/>
      <w:r w:rsidRPr="00684840" w:rsidDel="00926573">
        <w:t xml:space="preserve"> exclude political communications because that reading down could be done in a number of ways, contrary to </w:t>
      </w:r>
      <w:proofErr w:type="spellStart"/>
      <w:r w:rsidRPr="00684840" w:rsidDel="00926573">
        <w:rPr>
          <w:i/>
          <w:iCs/>
        </w:rPr>
        <w:t>Pidoto</w:t>
      </w:r>
      <w:proofErr w:type="spellEnd"/>
      <w:r w:rsidRPr="00684840" w:rsidDel="00926573">
        <w:t xml:space="preserve"> at 111</w:t>
      </w:r>
      <w:r w:rsidRPr="00684840">
        <w:t xml:space="preserve"> (Latham CJ)</w:t>
      </w:r>
      <w:r w:rsidRPr="00684840" w:rsidDel="00926573">
        <w:t xml:space="preserve">. </w:t>
      </w:r>
      <w:proofErr w:type="spellStart"/>
      <w:r w:rsidRPr="00684840">
        <w:t>Gageler</w:t>
      </w:r>
      <w:proofErr w:type="spellEnd"/>
      <w:r w:rsidRPr="00684840">
        <w:t xml:space="preserve"> J</w:t>
      </w:r>
      <w:r w:rsidR="00F333AD" w:rsidRPr="00684840">
        <w:t>, who was also in the minority,</w:t>
      </w:r>
      <w:r w:rsidR="003D156A" w:rsidRPr="00684840">
        <w:t xml:space="preserve"> held </w:t>
      </w:r>
      <w:r w:rsidRPr="00684840">
        <w:t xml:space="preserve">to the contrary, </w:t>
      </w:r>
      <w:r w:rsidR="00684D4C" w:rsidRPr="00684840">
        <w:t xml:space="preserve">at [178], </w:t>
      </w:r>
      <w:r w:rsidR="00F333AD" w:rsidRPr="00684840">
        <w:t xml:space="preserve">stating </w:t>
      </w:r>
      <w:r w:rsidRPr="00684840">
        <w:t xml:space="preserve">that the provision could be </w:t>
      </w:r>
      <w:r w:rsidRPr="00684840">
        <w:lastRenderedPageBreak/>
        <w:t>read down as having no application insofar as the section would apply to consorting which is or forms part of an association for a purpose of engaging in communication on governmental or political matters.</w:t>
      </w:r>
      <w:r w:rsidR="005159AA">
        <w:t xml:space="preserve"> </w:t>
      </w:r>
      <w:proofErr w:type="spellStart"/>
      <w:r w:rsidR="005159AA">
        <w:t>Gageler</w:t>
      </w:r>
      <w:proofErr w:type="spellEnd"/>
      <w:r w:rsidR="005159AA">
        <w:t xml:space="preserve"> J’s reasoning in </w:t>
      </w:r>
      <w:proofErr w:type="spellStart"/>
      <w:r w:rsidR="005159AA" w:rsidRPr="005159AA">
        <w:rPr>
          <w:i/>
          <w:iCs/>
        </w:rPr>
        <w:t>Tajjour</w:t>
      </w:r>
      <w:proofErr w:type="spellEnd"/>
      <w:r w:rsidR="005159AA">
        <w:t xml:space="preserve"> at [171] is significant</w:t>
      </w:r>
      <w:r w:rsidR="00333FC7">
        <w:t xml:space="preserve"> and warrants closer analysis</w:t>
      </w:r>
      <w:r w:rsidR="00C73570">
        <w:t>, having been</w:t>
      </w:r>
      <w:r w:rsidR="005159AA" w:rsidRPr="00684840">
        <w:t xml:space="preserve"> cited with apparent approval in </w:t>
      </w:r>
      <w:r w:rsidR="005159AA" w:rsidRPr="005159AA" w:rsidDel="0053121F">
        <w:rPr>
          <w:b/>
          <w:bCs/>
          <w:i/>
          <w:iCs/>
        </w:rPr>
        <w:t>Graham</w:t>
      </w:r>
      <w:r w:rsidR="005159AA" w:rsidRPr="00087CA8" w:rsidDel="0053121F">
        <w:t xml:space="preserve"> </w:t>
      </w:r>
      <w:r w:rsidR="005159AA" w:rsidRPr="005159AA" w:rsidDel="0053121F">
        <w:rPr>
          <w:i/>
          <w:iCs/>
        </w:rPr>
        <w:t xml:space="preserve">v Minister for Immigration and Border Protection </w:t>
      </w:r>
      <w:r w:rsidR="005159AA" w:rsidRPr="0083283B" w:rsidDel="0053121F">
        <w:t>(2017) 263 CLR 1; [2017] HCA 33</w:t>
      </w:r>
      <w:r w:rsidR="005159AA" w:rsidDel="0053121F">
        <w:t xml:space="preserve"> at [66] (Kiefel CJ, Bell, </w:t>
      </w:r>
      <w:proofErr w:type="spellStart"/>
      <w:r w:rsidR="005159AA" w:rsidDel="0053121F">
        <w:t>Gageler</w:t>
      </w:r>
      <w:proofErr w:type="spellEnd"/>
      <w:r w:rsidR="005159AA" w:rsidDel="0053121F">
        <w:t>, Keane, Nettle and Gordon JJ)</w:t>
      </w:r>
      <w:r w:rsidR="005159AA">
        <w:t>.</w:t>
      </w:r>
    </w:p>
    <w:p w14:paraId="316AC70F" w14:textId="5544C81A" w:rsidR="00B0774F" w:rsidRPr="00684840" w:rsidRDefault="00333FC7" w:rsidP="005159AA">
      <w:pPr>
        <w:pStyle w:val="ParaNumbering"/>
        <w:tabs>
          <w:tab w:val="clear" w:pos="720"/>
        </w:tabs>
      </w:pPr>
      <w:r>
        <w:t xml:space="preserve">In </w:t>
      </w:r>
      <w:proofErr w:type="spellStart"/>
      <w:r w:rsidRPr="005159AA">
        <w:rPr>
          <w:i/>
          <w:iCs/>
        </w:rPr>
        <w:t>Tajjour</w:t>
      </w:r>
      <w:proofErr w:type="spellEnd"/>
      <w:r>
        <w:t xml:space="preserve">, </w:t>
      </w:r>
      <w:proofErr w:type="spellStart"/>
      <w:r w:rsidR="00B0774F" w:rsidRPr="00684840">
        <w:t>Gageler</w:t>
      </w:r>
      <w:proofErr w:type="spellEnd"/>
      <w:r w:rsidR="00B0774F" w:rsidRPr="00684840">
        <w:t xml:space="preserve"> J</w:t>
      </w:r>
      <w:r w:rsidR="00C429C6" w:rsidRPr="00684840">
        <w:t xml:space="preserve"> </w:t>
      </w:r>
      <w:r w:rsidR="00B0774F" w:rsidRPr="00684840">
        <w:t>stated</w:t>
      </w:r>
      <w:r w:rsidR="00C429C6" w:rsidRPr="00684840">
        <w:t xml:space="preserve"> </w:t>
      </w:r>
      <w:r w:rsidR="007F4D1A">
        <w:t xml:space="preserve">at [171] </w:t>
      </w:r>
      <w:r w:rsidR="00B0774F" w:rsidRPr="00684840">
        <w:t>that a severance clause such as the State’s equivalent of s</w:t>
      </w:r>
      <w:r w:rsidR="00F4550B">
        <w:t> </w:t>
      </w:r>
      <w:r w:rsidR="00B0774F" w:rsidRPr="00684840">
        <w:t xml:space="preserve">15A can operate to read down a provision expressed in general words so as to have no application within an area in which legislative power is subject to a clear constitutional limitation, referring to the </w:t>
      </w:r>
      <w:r w:rsidR="00B0774F" w:rsidRPr="005159AA">
        <w:rPr>
          <w:i/>
          <w:iCs/>
        </w:rPr>
        <w:t>Industrial Relations Act case</w:t>
      </w:r>
      <w:r w:rsidR="00B0774F" w:rsidRPr="00684840">
        <w:t xml:space="preserve"> at 502</w:t>
      </w:r>
      <w:r w:rsidR="00AD3979" w:rsidRPr="00684840">
        <w:t>–</w:t>
      </w:r>
      <w:r w:rsidR="00B0774F" w:rsidRPr="00684840">
        <w:t>503</w:t>
      </w:r>
      <w:r w:rsidR="00391134">
        <w:t xml:space="preserve"> </w:t>
      </w:r>
      <w:r w:rsidR="00391134" w:rsidRPr="00684840">
        <w:t xml:space="preserve">(Brennan CJ, Toohey, </w:t>
      </w:r>
      <w:proofErr w:type="spellStart"/>
      <w:r w:rsidR="00391134" w:rsidRPr="00684840">
        <w:t>Gaudron</w:t>
      </w:r>
      <w:proofErr w:type="spellEnd"/>
      <w:r w:rsidR="00391134" w:rsidRPr="00684840">
        <w:t>, McHugh and Gummow JJ)</w:t>
      </w:r>
      <w:r w:rsidR="00B0774F" w:rsidRPr="00684840">
        <w:t xml:space="preserve">. </w:t>
      </w:r>
      <w:r w:rsidR="00147559" w:rsidRPr="00684840">
        <w:t>The relevant</w:t>
      </w:r>
      <w:r w:rsidR="00B0774F" w:rsidRPr="00684840">
        <w:t xml:space="preserve"> passage</w:t>
      </w:r>
      <w:r w:rsidR="00147559" w:rsidRPr="00684840">
        <w:t xml:space="preserve"> f</w:t>
      </w:r>
      <w:r w:rsidR="00FB67F8" w:rsidRPr="00684840">
        <w:t xml:space="preserve">rom </w:t>
      </w:r>
      <w:proofErr w:type="spellStart"/>
      <w:r w:rsidR="00147559" w:rsidRPr="005159AA">
        <w:rPr>
          <w:i/>
          <w:iCs/>
        </w:rPr>
        <w:t>Tajjour</w:t>
      </w:r>
      <w:proofErr w:type="spellEnd"/>
      <w:r w:rsidR="00445EC2" w:rsidRPr="00684840">
        <w:t xml:space="preserve"> </w:t>
      </w:r>
      <w:r w:rsidR="00B0774F" w:rsidRPr="00684840">
        <w:t xml:space="preserve">was cited by the primary judge </w:t>
      </w:r>
      <w:r w:rsidR="00D26713" w:rsidRPr="00684840">
        <w:t xml:space="preserve">at </w:t>
      </w:r>
      <w:r w:rsidR="00B0774F" w:rsidRPr="00684840">
        <w:t xml:space="preserve">J [70], </w:t>
      </w:r>
      <w:r w:rsidR="001F7196" w:rsidRPr="00684840">
        <w:t xml:space="preserve">and </w:t>
      </w:r>
      <w:r w:rsidR="00B0774F" w:rsidRPr="00684840">
        <w:t>is reproduced below:</w:t>
      </w:r>
    </w:p>
    <w:p w14:paraId="68635E5E" w14:textId="1D75BB46" w:rsidR="00B0774F" w:rsidRPr="00684840" w:rsidRDefault="00B0774F" w:rsidP="00B0774F">
      <w:pPr>
        <w:pStyle w:val="Quote1"/>
      </w:pPr>
      <w:r w:rsidRPr="00684840">
        <w:t xml:space="preserve">That a severance clause operates only as a rule of construction, however, is no impediment to its application to read down a provision expressed in general words </w:t>
      </w:r>
      <w:proofErr w:type="gramStart"/>
      <w:r w:rsidRPr="00684840">
        <w:t>so as to</w:t>
      </w:r>
      <w:proofErr w:type="gramEnd"/>
      <w:r w:rsidRPr="00684840">
        <w:t xml:space="preserve"> have no application within an area in which legislative power is subject to a clear constitutional limitation</w:t>
      </w:r>
      <w:r w:rsidR="00AC733E" w:rsidRPr="00684840">
        <w:t xml:space="preserve"> </w:t>
      </w:r>
      <w:r w:rsidRPr="00684840">
        <w:t>[</w:t>
      </w:r>
      <w:r w:rsidRPr="00684840">
        <w:rPr>
          <w:i/>
          <w:iCs/>
        </w:rPr>
        <w:t>Industrial Relations Act case</w:t>
      </w:r>
      <w:r w:rsidRPr="00684840">
        <w:t xml:space="preserve"> at 502-503]. Such reading down can occur even if the constitutional limitation is incapable of precise definition</w:t>
      </w:r>
      <w:r w:rsidR="00AC733E" w:rsidRPr="00684840">
        <w:rPr>
          <w:vertAlign w:val="superscript"/>
        </w:rPr>
        <w:t xml:space="preserve"> </w:t>
      </w:r>
      <w:r w:rsidRPr="00684840">
        <w:t>[</w:t>
      </w:r>
      <w:r w:rsidRPr="00684840">
        <w:rPr>
          <w:i/>
          <w:iCs/>
        </w:rPr>
        <w:t xml:space="preserve">Industrial Relations Act case </w:t>
      </w:r>
      <w:r w:rsidRPr="00684840">
        <w:t>at 503</w:t>
      </w:r>
      <w:r w:rsidR="00333FC7">
        <w:t>;</w:t>
      </w:r>
      <w:r w:rsidRPr="00684840">
        <w:t xml:space="preserve"> </w:t>
      </w:r>
      <w:r w:rsidRPr="00684840">
        <w:rPr>
          <w:i/>
          <w:iCs/>
        </w:rPr>
        <w:t>Clarke v Federal Commissioner of Taxation</w:t>
      </w:r>
      <w:r w:rsidRPr="00684840">
        <w:t xml:space="preserve"> (2009) 240 CLR 272</w:t>
      </w:r>
      <w:r w:rsidR="005E4141">
        <w:t>; [2009] HCA 33</w:t>
      </w:r>
      <w:r w:rsidRPr="00684840">
        <w:t xml:space="preserve"> at [66] (</w:t>
      </w:r>
      <w:r w:rsidR="006A164F" w:rsidRPr="00684840">
        <w:t xml:space="preserve">Gummow, </w:t>
      </w:r>
      <w:proofErr w:type="spellStart"/>
      <w:r w:rsidR="006A164F" w:rsidRPr="00684840">
        <w:t>Heydon</w:t>
      </w:r>
      <w:proofErr w:type="spellEnd"/>
      <w:r w:rsidR="006A164F" w:rsidRPr="00684840">
        <w:t>, Kiefel and Bell JJ</w:t>
      </w:r>
      <w:r w:rsidRPr="00684840">
        <w:t>)], and even if an inquiry of fact is required to determine whether the constitutional limitation would or would not be engaged in so far as the law would apply to particular persons in particular circumstances [</w:t>
      </w:r>
      <w:r w:rsidRPr="00684840">
        <w:rPr>
          <w:i/>
          <w:iCs/>
        </w:rPr>
        <w:t xml:space="preserve">Bourke </w:t>
      </w:r>
      <w:r w:rsidRPr="00684840">
        <w:t>at 291-292</w:t>
      </w:r>
      <w:r w:rsidR="00333FC7">
        <w:t>;</w:t>
      </w:r>
      <w:r w:rsidRPr="00684840">
        <w:t xml:space="preserve"> </w:t>
      </w:r>
      <w:r w:rsidRPr="00684840">
        <w:rPr>
          <w:i/>
          <w:iCs/>
        </w:rPr>
        <w:t xml:space="preserve">Nolan </w:t>
      </w:r>
      <w:r w:rsidRPr="00684840">
        <w:t>at 487-488</w:t>
      </w:r>
      <w:r w:rsidR="005E4141">
        <w:t xml:space="preserve"> (Brennan and Toohey JJ)</w:t>
      </w:r>
      <w:r w:rsidRPr="00684840">
        <w:t>]. Where reading down can occur, the constructional imperative of a severance clause is that reading down must occur.</w:t>
      </w:r>
    </w:p>
    <w:p w14:paraId="472826C5" w14:textId="489E3868" w:rsidR="00B0774F" w:rsidRDefault="00B0774F" w:rsidP="00087CA8">
      <w:pPr>
        <w:pStyle w:val="Quote1"/>
      </w:pPr>
      <w:r w:rsidRPr="00A36A6B">
        <w:t xml:space="preserve">[Footnotes </w:t>
      </w:r>
      <w:r w:rsidR="00C63D3B">
        <w:t>included</w:t>
      </w:r>
      <w:r w:rsidRPr="00A36A6B">
        <w:t>]</w:t>
      </w:r>
    </w:p>
    <w:p w14:paraId="199DC935" w14:textId="1381FD85" w:rsidR="00C104B6" w:rsidRPr="00684840" w:rsidRDefault="00140861" w:rsidP="00227AB3">
      <w:pPr>
        <w:pStyle w:val="ParaNumbering"/>
        <w:tabs>
          <w:tab w:val="clear" w:pos="720"/>
        </w:tabs>
      </w:pPr>
      <w:r w:rsidRPr="00684840">
        <w:t>As</w:t>
      </w:r>
      <w:r w:rsidR="00035A5C" w:rsidRPr="00684840">
        <w:t xml:space="preserve"> demonstrated by</w:t>
      </w:r>
      <w:r w:rsidRPr="00684840">
        <w:t xml:space="preserve"> the authorities mentioned, r</w:t>
      </w:r>
      <w:r w:rsidR="00090464" w:rsidRPr="00684840">
        <w:t>eading down is not limited to cases</w:t>
      </w:r>
      <w:r w:rsidR="004D4096" w:rsidRPr="00684840">
        <w:t xml:space="preserve"> where the limitation by which a provision is to be read down may be found in the terms of the law itself or its subject matter, as</w:t>
      </w:r>
      <w:r w:rsidR="00F61E5E" w:rsidRPr="00684840">
        <w:t xml:space="preserve"> was</w:t>
      </w:r>
      <w:r w:rsidR="004D4096" w:rsidRPr="00684840">
        <w:t xml:space="preserve"> mentioned in </w:t>
      </w:r>
      <w:proofErr w:type="spellStart"/>
      <w:r w:rsidR="004D4096" w:rsidRPr="00227AB3">
        <w:rPr>
          <w:i/>
          <w:iCs/>
        </w:rPr>
        <w:t>Pidoto</w:t>
      </w:r>
      <w:proofErr w:type="spellEnd"/>
      <w:r w:rsidR="004D4096" w:rsidRPr="00684840">
        <w:t xml:space="preserve">. </w:t>
      </w:r>
      <w:r w:rsidR="00DF1154" w:rsidRPr="00684840">
        <w:t xml:space="preserve">A </w:t>
      </w:r>
      <w:r w:rsidR="0051375A" w:rsidRPr="00684840">
        <w:t xml:space="preserve">provision expressed in general words </w:t>
      </w:r>
      <w:r w:rsidR="008B0FA0" w:rsidRPr="00684840">
        <w:t>that</w:t>
      </w:r>
      <w:r w:rsidR="006C4CE7" w:rsidRPr="00684840">
        <w:t xml:space="preserve"> </w:t>
      </w:r>
      <w:proofErr w:type="gramStart"/>
      <w:r w:rsidR="006C4CE7" w:rsidRPr="00684840">
        <w:t>operates</w:t>
      </w:r>
      <w:r w:rsidR="00BF4099" w:rsidRPr="00684840">
        <w:t>,</w:t>
      </w:r>
      <w:proofErr w:type="gramEnd"/>
      <w:r w:rsidR="00BF4099" w:rsidRPr="00684840">
        <w:t xml:space="preserve"> on its terms,</w:t>
      </w:r>
      <w:r w:rsidR="006C4CE7" w:rsidRPr="00684840">
        <w:t xml:space="preserve"> in an area </w:t>
      </w:r>
      <w:r w:rsidR="00EF4BD3" w:rsidRPr="00684840">
        <w:t>which is subject to</w:t>
      </w:r>
      <w:r w:rsidR="006C4CE7" w:rsidRPr="00684840">
        <w:t xml:space="preserve"> </w:t>
      </w:r>
      <w:r w:rsidR="0051375A" w:rsidRPr="00684840">
        <w:t xml:space="preserve">a </w:t>
      </w:r>
      <w:r w:rsidR="003B5D52" w:rsidRPr="00684840">
        <w:t xml:space="preserve">clear </w:t>
      </w:r>
      <w:r w:rsidR="0051375A" w:rsidRPr="00684840">
        <w:t>constitutional limitation</w:t>
      </w:r>
      <w:r w:rsidR="0004778E" w:rsidRPr="00684840">
        <w:t xml:space="preserve"> can be </w:t>
      </w:r>
      <w:r w:rsidR="00DF1154" w:rsidRPr="00684840">
        <w:t>read</w:t>
      </w:r>
      <w:r w:rsidR="0004778E" w:rsidRPr="00684840">
        <w:t xml:space="preserve"> down as subject to that limitation: </w:t>
      </w:r>
      <w:r w:rsidR="005E7646" w:rsidRPr="00227AB3">
        <w:rPr>
          <w:i/>
          <w:iCs/>
        </w:rPr>
        <w:t>Industrial Relations Act case</w:t>
      </w:r>
      <w:r w:rsidR="005E7646" w:rsidRPr="00684840">
        <w:t xml:space="preserve"> at 502</w:t>
      </w:r>
      <w:r w:rsidR="00AD3979" w:rsidRPr="00684840">
        <w:t>–</w:t>
      </w:r>
      <w:r w:rsidR="005E7646" w:rsidRPr="00684840">
        <w:t>503</w:t>
      </w:r>
      <w:r w:rsidR="00C4285C">
        <w:t xml:space="preserve"> </w:t>
      </w:r>
      <w:r w:rsidR="00C4285C" w:rsidRPr="00684840">
        <w:t xml:space="preserve">(Brennan CJ, Toohey, </w:t>
      </w:r>
      <w:proofErr w:type="spellStart"/>
      <w:r w:rsidR="00C4285C" w:rsidRPr="00684840">
        <w:t>Gaudron</w:t>
      </w:r>
      <w:proofErr w:type="spellEnd"/>
      <w:r w:rsidR="00C4285C" w:rsidRPr="00684840">
        <w:t>, McHugh and Gummow JJ)</w:t>
      </w:r>
      <w:r w:rsidR="00697BBF" w:rsidRPr="00684840">
        <w:t xml:space="preserve">; </w:t>
      </w:r>
      <w:proofErr w:type="spellStart"/>
      <w:r w:rsidR="00697BBF" w:rsidRPr="00227AB3">
        <w:rPr>
          <w:i/>
          <w:iCs/>
        </w:rPr>
        <w:t>Tajjour</w:t>
      </w:r>
      <w:proofErr w:type="spellEnd"/>
      <w:r w:rsidR="00697BBF" w:rsidRPr="00684840">
        <w:t xml:space="preserve"> at [171]</w:t>
      </w:r>
      <w:r w:rsidR="00C4285C">
        <w:t xml:space="preserve"> (</w:t>
      </w:r>
      <w:proofErr w:type="spellStart"/>
      <w:r w:rsidR="00C4285C">
        <w:t>Gageler</w:t>
      </w:r>
      <w:proofErr w:type="spellEnd"/>
      <w:r w:rsidR="00C4285C">
        <w:t xml:space="preserve"> J)</w:t>
      </w:r>
      <w:r w:rsidR="003C7215" w:rsidRPr="00684840">
        <w:t>.</w:t>
      </w:r>
    </w:p>
    <w:p w14:paraId="1D493961" w14:textId="2CE38D70" w:rsidR="00A50293" w:rsidRPr="00684840" w:rsidRDefault="00C104B6" w:rsidP="007F14B1">
      <w:pPr>
        <w:pStyle w:val="ParaNumbering"/>
        <w:tabs>
          <w:tab w:val="clear" w:pos="720"/>
        </w:tabs>
      </w:pPr>
      <w:r w:rsidRPr="00684840">
        <w:t>Further, t</w:t>
      </w:r>
      <w:r w:rsidR="000D4FD0" w:rsidRPr="00684840">
        <w:t xml:space="preserve">he limitation by which a provision is to be read down </w:t>
      </w:r>
      <w:r w:rsidRPr="00684840">
        <w:t xml:space="preserve">may be supplied by the </w:t>
      </w:r>
      <w:r w:rsidRPr="00C20FF2">
        <w:rPr>
          <w:i/>
          <w:iCs/>
        </w:rPr>
        <w:t>Constitution</w:t>
      </w:r>
      <w:r w:rsidRPr="00684840">
        <w:t xml:space="preserve">. </w:t>
      </w:r>
      <w:r w:rsidR="004B5A45">
        <w:t>It has long been recognised that s</w:t>
      </w:r>
      <w:r w:rsidR="004B5A45" w:rsidRPr="00684840">
        <w:t xml:space="preserve"> </w:t>
      </w:r>
      <w:r w:rsidR="007A1F16" w:rsidRPr="00684840">
        <w:t xml:space="preserve">75(v) </w:t>
      </w:r>
      <w:r w:rsidR="00D222E6" w:rsidRPr="00684840">
        <w:t>introduce</w:t>
      </w:r>
      <w:r w:rsidR="00C47B6C" w:rsidRPr="00684840">
        <w:t>s</w:t>
      </w:r>
      <w:r w:rsidR="00D222E6" w:rsidRPr="00684840">
        <w:t xml:space="preserve"> into the </w:t>
      </w:r>
      <w:r w:rsidR="00D222E6" w:rsidRPr="00C20FF2">
        <w:rPr>
          <w:i/>
          <w:iCs/>
        </w:rPr>
        <w:t>Constitution</w:t>
      </w:r>
      <w:r w:rsidR="00D222E6" w:rsidRPr="00684840">
        <w:t xml:space="preserve"> an entrenched minimum provision of judicial review: </w:t>
      </w:r>
      <w:r w:rsidR="004B5A45">
        <w:t xml:space="preserve">see for example </w:t>
      </w:r>
      <w:r w:rsidR="00D222E6" w:rsidRPr="003728E7">
        <w:rPr>
          <w:b/>
          <w:bCs/>
          <w:i/>
          <w:iCs/>
        </w:rPr>
        <w:t>Plaintiff S157/20</w:t>
      </w:r>
      <w:r w:rsidR="0057789D">
        <w:rPr>
          <w:b/>
          <w:bCs/>
          <w:i/>
          <w:iCs/>
        </w:rPr>
        <w:t>0</w:t>
      </w:r>
      <w:r w:rsidR="00D222E6" w:rsidRPr="003728E7">
        <w:rPr>
          <w:b/>
          <w:bCs/>
          <w:i/>
          <w:iCs/>
        </w:rPr>
        <w:t>2</w:t>
      </w:r>
      <w:r w:rsidR="00D222E6" w:rsidRPr="003728E7">
        <w:rPr>
          <w:i/>
          <w:iCs/>
        </w:rPr>
        <w:t xml:space="preserve"> v Commonwealth </w:t>
      </w:r>
      <w:r w:rsidR="00A33968" w:rsidRPr="0083283B">
        <w:t>(2003) 211 CLR 476</w:t>
      </w:r>
      <w:r w:rsidR="00AC68A2" w:rsidRPr="0083283B">
        <w:t>; [2003] HCA 2</w:t>
      </w:r>
      <w:r w:rsidR="00A33968" w:rsidRPr="00684840">
        <w:t xml:space="preserve"> at</w:t>
      </w:r>
      <w:r w:rsidR="006D5A9C" w:rsidRPr="00684840">
        <w:t xml:space="preserve"> [5] (</w:t>
      </w:r>
      <w:r w:rsidR="00D408A3" w:rsidRPr="00684840">
        <w:t>Gleeson CJ);</w:t>
      </w:r>
      <w:r w:rsidR="00A33968" w:rsidRPr="00684840">
        <w:t xml:space="preserve"> [103]</w:t>
      </w:r>
      <w:r w:rsidR="008A2DE7" w:rsidRPr="00684840">
        <w:t xml:space="preserve"> </w:t>
      </w:r>
      <w:r w:rsidR="00D408A3" w:rsidRPr="00684840">
        <w:t>(</w:t>
      </w:r>
      <w:proofErr w:type="spellStart"/>
      <w:r w:rsidR="007405EE" w:rsidRPr="00684840">
        <w:t>Gaudron</w:t>
      </w:r>
      <w:proofErr w:type="spellEnd"/>
      <w:r w:rsidR="007405EE" w:rsidRPr="00684840">
        <w:t>, McHugh, Gummow, Kirby and Hayne JJ)</w:t>
      </w:r>
      <w:r w:rsidR="006C4789" w:rsidRPr="003728E7">
        <w:rPr>
          <w:i/>
          <w:iCs/>
        </w:rPr>
        <w:t>.</w:t>
      </w:r>
      <w:r w:rsidR="006D5270" w:rsidRPr="003728E7">
        <w:rPr>
          <w:i/>
          <w:iCs/>
        </w:rPr>
        <w:t xml:space="preserve"> </w:t>
      </w:r>
      <w:r w:rsidR="004B5A45">
        <w:t>In</w:t>
      </w:r>
      <w:r w:rsidR="006653E8" w:rsidRPr="00684840">
        <w:t xml:space="preserve"> </w:t>
      </w:r>
      <w:r w:rsidR="006E06BE" w:rsidRPr="003728E7">
        <w:rPr>
          <w:i/>
          <w:iCs/>
        </w:rPr>
        <w:t>Plaintiff S157/20</w:t>
      </w:r>
      <w:r w:rsidR="0057789D">
        <w:rPr>
          <w:i/>
          <w:iCs/>
        </w:rPr>
        <w:t>0</w:t>
      </w:r>
      <w:r w:rsidR="006E06BE" w:rsidRPr="003728E7">
        <w:rPr>
          <w:i/>
          <w:iCs/>
        </w:rPr>
        <w:t xml:space="preserve">2 </w:t>
      </w:r>
      <w:r w:rsidR="000D68D4" w:rsidRPr="00684840">
        <w:t>the</w:t>
      </w:r>
      <w:r w:rsidR="00BF6B99" w:rsidRPr="00684840">
        <w:t xml:space="preserve"> </w:t>
      </w:r>
      <w:r w:rsidR="00012760" w:rsidRPr="00684840">
        <w:t>provision</w:t>
      </w:r>
      <w:r w:rsidR="009A3646" w:rsidRPr="00684840">
        <w:t xml:space="preserve"> </w:t>
      </w:r>
      <w:r w:rsidR="000D68D4" w:rsidRPr="00684840">
        <w:t xml:space="preserve">in issue was </w:t>
      </w:r>
      <w:r w:rsidR="009A3646" w:rsidRPr="00684840">
        <w:lastRenderedPageBreak/>
        <w:t>read so as not to subvert the jurisdiction under s 75(v)</w:t>
      </w:r>
      <w:r w:rsidR="001C60DF" w:rsidRPr="00684840">
        <w:t xml:space="preserve"> and was </w:t>
      </w:r>
      <w:r w:rsidR="00CC07A1">
        <w:t xml:space="preserve">held to be </w:t>
      </w:r>
      <w:r w:rsidR="001C60DF" w:rsidRPr="00684840">
        <w:t>valid</w:t>
      </w:r>
      <w:r w:rsidR="009A3646" w:rsidRPr="00684840">
        <w:t>: at [74]</w:t>
      </w:r>
      <w:proofErr w:type="gramStart"/>
      <w:r w:rsidR="00AD3979" w:rsidRPr="00684840">
        <w:t>–</w:t>
      </w:r>
      <w:r w:rsidR="009A3646" w:rsidRPr="00684840">
        <w:t>[</w:t>
      </w:r>
      <w:proofErr w:type="gramEnd"/>
      <w:r w:rsidR="009A3646" w:rsidRPr="00684840">
        <w:t>76].</w:t>
      </w:r>
      <w:r w:rsidR="00461B4E" w:rsidRPr="00684840">
        <w:t xml:space="preserve"> Similarly</w:t>
      </w:r>
      <w:r w:rsidR="00A95576" w:rsidRPr="00684840">
        <w:t>, i</w:t>
      </w:r>
      <w:r w:rsidR="001B27AD" w:rsidRPr="00684840">
        <w:t>n</w:t>
      </w:r>
      <w:r w:rsidR="00001629" w:rsidRPr="00684840">
        <w:t xml:space="preserve"> </w:t>
      </w:r>
      <w:r w:rsidR="00001629" w:rsidRPr="003728E7">
        <w:rPr>
          <w:i/>
          <w:iCs/>
        </w:rPr>
        <w:t>Graham</w:t>
      </w:r>
      <w:r w:rsidR="00AC062C" w:rsidRPr="003728E7">
        <w:rPr>
          <w:i/>
          <w:iCs/>
        </w:rPr>
        <w:t xml:space="preserve">, </w:t>
      </w:r>
      <w:r w:rsidR="00A50293" w:rsidRPr="00684840">
        <w:t xml:space="preserve">the word “court” </w:t>
      </w:r>
      <w:r w:rsidR="00AC062C" w:rsidRPr="00684840">
        <w:t>was</w:t>
      </w:r>
      <w:r w:rsidR="00A50293" w:rsidRPr="00684840">
        <w:t xml:space="preserve"> read to exclude the High Court when exercising s</w:t>
      </w:r>
      <w:r w:rsidR="00B976FA">
        <w:t> </w:t>
      </w:r>
      <w:r w:rsidR="00A50293" w:rsidRPr="00684840">
        <w:t>75(v) jurisdiction</w:t>
      </w:r>
      <w:r w:rsidR="00B976FA">
        <w:t>,</w:t>
      </w:r>
      <w:r w:rsidR="00A50293" w:rsidRPr="00684840">
        <w:t xml:space="preserve"> and this court when exercising analogous statutory jurisdiction</w:t>
      </w:r>
      <w:r w:rsidR="00B976FA">
        <w:t>,</w:t>
      </w:r>
      <w:r w:rsidR="00A50293" w:rsidRPr="00684840">
        <w:t xml:space="preserve"> to review a purported exercise of power by the relevant Minister under </w:t>
      </w:r>
      <w:r w:rsidR="00623F3F" w:rsidRPr="00684840">
        <w:t xml:space="preserve">certain </w:t>
      </w:r>
      <w:r w:rsidR="00A50293" w:rsidRPr="00684840">
        <w:t xml:space="preserve">provisions of the </w:t>
      </w:r>
      <w:r w:rsidR="00A50293" w:rsidRPr="003728E7">
        <w:rPr>
          <w:b/>
          <w:bCs/>
          <w:i/>
          <w:iCs/>
        </w:rPr>
        <w:t>Migration Act</w:t>
      </w:r>
      <w:r w:rsidR="00A50293" w:rsidRPr="003728E7">
        <w:rPr>
          <w:i/>
          <w:iCs/>
        </w:rPr>
        <w:t xml:space="preserve"> 1958 </w:t>
      </w:r>
      <w:r w:rsidR="00A50293" w:rsidRPr="00684840">
        <w:t>(Cth)</w:t>
      </w:r>
      <w:r w:rsidR="00A50293" w:rsidRPr="003728E7">
        <w:rPr>
          <w:i/>
          <w:iCs/>
        </w:rPr>
        <w:t xml:space="preserve"> </w:t>
      </w:r>
      <w:r w:rsidR="00A50293" w:rsidRPr="00684840">
        <w:t>under consideration in that case</w:t>
      </w:r>
      <w:r w:rsidR="00D21551" w:rsidRPr="00684840">
        <w:t xml:space="preserve">, and </w:t>
      </w:r>
      <w:r w:rsidR="00847595" w:rsidRPr="00684840">
        <w:t>the provision</w:t>
      </w:r>
      <w:r w:rsidR="00623F3F" w:rsidRPr="00684840">
        <w:t>s</w:t>
      </w:r>
      <w:r w:rsidR="00847595" w:rsidRPr="00684840">
        <w:t xml:space="preserve"> </w:t>
      </w:r>
      <w:r w:rsidR="00623F3F" w:rsidRPr="00684840">
        <w:t>were</w:t>
      </w:r>
      <w:r w:rsidR="00A93DE7">
        <w:t xml:space="preserve"> held to be</w:t>
      </w:r>
      <w:r w:rsidR="00847595" w:rsidRPr="00684840">
        <w:t xml:space="preserve"> valid</w:t>
      </w:r>
      <w:r w:rsidR="00F74265" w:rsidRPr="00684840">
        <w:t xml:space="preserve"> when read subject to that limitation</w:t>
      </w:r>
      <w:r w:rsidR="00A01D71" w:rsidRPr="00684840">
        <w:t xml:space="preserve">: </w:t>
      </w:r>
      <w:r w:rsidR="00A01D71" w:rsidRPr="003728E7">
        <w:rPr>
          <w:i/>
          <w:iCs/>
        </w:rPr>
        <w:t>Graham</w:t>
      </w:r>
      <w:r w:rsidR="00A01D71" w:rsidRPr="00684840">
        <w:t xml:space="preserve"> at [66]</w:t>
      </w:r>
      <w:r w:rsidR="003A2BCE">
        <w:t xml:space="preserve"> </w:t>
      </w:r>
      <w:r w:rsidR="003A2BCE" w:rsidRPr="00684840">
        <w:t xml:space="preserve">(Kiefel CJ, Bell, </w:t>
      </w:r>
      <w:proofErr w:type="spellStart"/>
      <w:r w:rsidR="003A2BCE" w:rsidRPr="00684840">
        <w:t>Gageler</w:t>
      </w:r>
      <w:proofErr w:type="spellEnd"/>
      <w:r w:rsidR="003A2BCE" w:rsidRPr="00684840">
        <w:t>, Keane, Nettle and Gordon JJ)</w:t>
      </w:r>
      <w:r w:rsidR="00A50293" w:rsidRPr="00684840">
        <w:t xml:space="preserve">. </w:t>
      </w:r>
      <w:proofErr w:type="gramStart"/>
      <w:r w:rsidR="00BF6B99" w:rsidRPr="00684840">
        <w:t>Thus</w:t>
      </w:r>
      <w:proofErr w:type="gramEnd"/>
      <w:r w:rsidR="00BF6B99" w:rsidRPr="00684840">
        <w:t xml:space="preserve"> </w:t>
      </w:r>
      <w:r w:rsidR="00A50293" w:rsidRPr="007F14B1">
        <w:rPr>
          <w:i/>
          <w:iCs/>
        </w:rPr>
        <w:t xml:space="preserve">Graham </w:t>
      </w:r>
      <w:r w:rsidR="00A50293" w:rsidRPr="00684840">
        <w:t>furnishes an example, close to the present circumstances, of a reading down of the kind contended for by the Minister</w:t>
      </w:r>
      <w:r w:rsidR="005907AD" w:rsidRPr="00684840">
        <w:t>.</w:t>
      </w:r>
      <w:r w:rsidR="00CF3D44">
        <w:t xml:space="preserve"> Similarly, in </w:t>
      </w:r>
      <w:proofErr w:type="spellStart"/>
      <w:r w:rsidR="00CF3D44" w:rsidRPr="007F14B1">
        <w:rPr>
          <w:i/>
          <w:iCs/>
        </w:rPr>
        <w:t>Tajjour</w:t>
      </w:r>
      <w:proofErr w:type="spellEnd"/>
      <w:r w:rsidR="00C10A3B">
        <w:t>,</w:t>
      </w:r>
      <w:r w:rsidR="00CF3D44" w:rsidRPr="007F14B1">
        <w:rPr>
          <w:i/>
          <w:iCs/>
        </w:rPr>
        <w:t xml:space="preserve"> </w:t>
      </w:r>
      <w:proofErr w:type="spellStart"/>
      <w:r w:rsidR="00CF3D44" w:rsidRPr="00684840">
        <w:t>Gageler</w:t>
      </w:r>
      <w:proofErr w:type="spellEnd"/>
      <w:r w:rsidR="00CF3D44" w:rsidRPr="00684840">
        <w:t xml:space="preserve"> J had no difficulty reading in the limitation, which was supplied by the </w:t>
      </w:r>
      <w:r w:rsidR="00CF3D44" w:rsidRPr="00C20FF2">
        <w:rPr>
          <w:i/>
          <w:iCs/>
        </w:rPr>
        <w:t>Constitution</w:t>
      </w:r>
      <w:r w:rsidR="00CF3D44" w:rsidRPr="00684840">
        <w:t>, even though it would turn on the purpose of the association, which would involve questions of fact and evaluation.</w:t>
      </w:r>
    </w:p>
    <w:p w14:paraId="3CD41191" w14:textId="30B5CCC4" w:rsidR="000F53FB" w:rsidRDefault="000F53FB" w:rsidP="000F53FB">
      <w:pPr>
        <w:pStyle w:val="ParaNumbering"/>
        <w:tabs>
          <w:tab w:val="clear" w:pos="720"/>
        </w:tabs>
      </w:pPr>
      <w:r w:rsidRPr="00684840">
        <w:t xml:space="preserve">As the primary judge observed at </w:t>
      </w:r>
      <w:r w:rsidR="00B976FA">
        <w:t>J </w:t>
      </w:r>
      <w:r w:rsidRPr="00684840">
        <w:t xml:space="preserve">[70], a general provision can be read down to have no application within an area in which legislative power is subject to a clear constitutional limitation. </w:t>
      </w:r>
      <w:r w:rsidR="00EE282E">
        <w:t xml:space="preserve">Further, it did not matter </w:t>
      </w:r>
      <w:r w:rsidR="00D16DE2">
        <w:t>if the bo</w:t>
      </w:r>
      <w:r w:rsidR="00846EA2">
        <w:t xml:space="preserve">undaries of the limitation are imprecise or unsettled, referring to </w:t>
      </w:r>
      <w:proofErr w:type="spellStart"/>
      <w:r w:rsidR="00846EA2" w:rsidRPr="00301F29">
        <w:rPr>
          <w:i/>
          <w:iCs/>
        </w:rPr>
        <w:t>Tajjour</w:t>
      </w:r>
      <w:proofErr w:type="spellEnd"/>
      <w:r w:rsidR="00846EA2">
        <w:t xml:space="preserve"> at [171]. </w:t>
      </w:r>
      <w:r w:rsidRPr="00684840">
        <w:t>The applicable consti</w:t>
      </w:r>
      <w:r>
        <w:t>tutional limitation</w:t>
      </w:r>
      <w:r w:rsidR="00F847BF">
        <w:t xml:space="preserve">, </w:t>
      </w:r>
      <w:r w:rsidR="008D1236">
        <w:t xml:space="preserve">as </w:t>
      </w:r>
      <w:r w:rsidR="00F847BF">
        <w:t xml:space="preserve">his Honour found, was </w:t>
      </w:r>
      <w:r>
        <w:t xml:space="preserve">the jurisdiction entrenched under s 75(v) of the </w:t>
      </w:r>
      <w:r w:rsidRPr="00C20FF2">
        <w:rPr>
          <w:i/>
          <w:iCs/>
        </w:rPr>
        <w:t>Constitution</w:t>
      </w:r>
      <w:r>
        <w:t xml:space="preserve"> </w:t>
      </w:r>
      <w:r w:rsidR="00AF1D99">
        <w:t>o</w:t>
      </w:r>
      <w:r w:rsidR="00AF1D99" w:rsidRPr="00C7752F">
        <w:t>r</w:t>
      </w:r>
      <w:r w:rsidRPr="00C7752F">
        <w:t xml:space="preserve"> </w:t>
      </w:r>
      <w:r w:rsidRPr="00AF1D99">
        <w:t>s 39B of the Judiciary Act:</w:t>
      </w:r>
      <w:r>
        <w:t xml:space="preserve"> </w:t>
      </w:r>
      <w:r w:rsidR="00AF1D99">
        <w:t xml:space="preserve">at </w:t>
      </w:r>
      <w:r w:rsidR="00BD4479">
        <w:t>J [</w:t>
      </w:r>
      <w:r w:rsidR="00AF1D99">
        <w:t>73]</w:t>
      </w:r>
      <w:r>
        <w:t xml:space="preserve">. </w:t>
      </w:r>
      <w:r w:rsidR="00C6628B">
        <w:t>For the reasons set out above</w:t>
      </w:r>
      <w:r w:rsidR="00A84E72">
        <w:t>, t</w:t>
      </w:r>
      <w:r>
        <w:t>here was no error in his Honour’s conclusions.</w:t>
      </w:r>
    </w:p>
    <w:p w14:paraId="6D9B480A" w14:textId="497D5531" w:rsidR="00902B2C" w:rsidRDefault="00B05A7D" w:rsidP="003E79DE">
      <w:pPr>
        <w:pStyle w:val="ParaNumbering"/>
        <w:tabs>
          <w:tab w:val="clear" w:pos="720"/>
        </w:tabs>
      </w:pPr>
      <w:r>
        <w:t>Contrary to the appellant’s submissions, t</w:t>
      </w:r>
      <w:r w:rsidR="004D39F5">
        <w:t xml:space="preserve">he </w:t>
      </w:r>
      <w:r w:rsidR="002A7FE7">
        <w:t xml:space="preserve">limitation by which the Regulations are to be </w:t>
      </w:r>
      <w:r w:rsidR="004D0B2C">
        <w:t xml:space="preserve">read down and </w:t>
      </w:r>
      <w:r w:rsidR="002A7FE7">
        <w:t xml:space="preserve">rendered valid </w:t>
      </w:r>
      <w:r w:rsidR="00410FDA">
        <w:t>is</w:t>
      </w:r>
      <w:r w:rsidR="002A7FE7">
        <w:t xml:space="preserve"> clear and does not involve a</w:t>
      </w:r>
      <w:r w:rsidR="00D339E3">
        <w:t xml:space="preserve"> choice.</w:t>
      </w:r>
      <w:r w:rsidR="00187FCB">
        <w:t xml:space="preserve"> </w:t>
      </w:r>
      <w:r w:rsidR="00A31ACA">
        <w:t xml:space="preserve">The question </w:t>
      </w:r>
      <w:r>
        <w:t>is</w:t>
      </w:r>
      <w:r w:rsidR="00A31ACA">
        <w:t xml:space="preserve"> how best to express it. </w:t>
      </w:r>
      <w:r w:rsidR="00BB74E5">
        <w:t>T</w:t>
      </w:r>
      <w:r w:rsidR="00493C38">
        <w:t>he precise reading down</w:t>
      </w:r>
      <w:r w:rsidR="003E7576">
        <w:t>,</w:t>
      </w:r>
      <w:r w:rsidR="00493C38">
        <w:t xml:space="preserve"> so as not to be inconsistent with </w:t>
      </w:r>
      <w:r>
        <w:t xml:space="preserve">the </w:t>
      </w:r>
      <w:r w:rsidR="00493C38">
        <w:t>constitutional limitation</w:t>
      </w:r>
      <w:r w:rsidR="00C7752F">
        <w:t>, is a question of</w:t>
      </w:r>
      <w:r w:rsidR="00493C38">
        <w:t xml:space="preserve"> judgment and degree.</w:t>
      </w:r>
      <w:r w:rsidR="004B5813">
        <w:t xml:space="preserve"> W</w:t>
      </w:r>
      <w:r w:rsidR="00F631A5">
        <w:t>hilst there may be other ways of expressing the limitation, we would</w:t>
      </w:r>
      <w:r w:rsidR="008F2311">
        <w:t xml:space="preserve"> adopt</w:t>
      </w:r>
      <w:r w:rsidR="00F631A5">
        <w:t xml:space="preserve"> the </w:t>
      </w:r>
      <w:r w:rsidR="00380B32">
        <w:t>Minister’s expression of it</w:t>
      </w:r>
      <w:r w:rsidR="00F631A5">
        <w:t>,</w:t>
      </w:r>
      <w:r w:rsidR="00380B32">
        <w:t xml:space="preserve"> </w:t>
      </w:r>
      <w:r w:rsidR="00096B6A">
        <w:t>which the primary judge accepted,</w:t>
      </w:r>
      <w:r w:rsidR="00CC6650">
        <w:t xml:space="preserve"> that</w:t>
      </w:r>
      <w:r w:rsidR="00096B6A">
        <w:t xml:space="preserve"> </w:t>
      </w:r>
      <w:r w:rsidR="005472EA">
        <w:t>regs 14 and 15 do not apply to actions taken for the purpose</w:t>
      </w:r>
      <w:r w:rsidR="003313F4">
        <w:t>, in an objective sense,</w:t>
      </w:r>
      <w:r w:rsidR="005472EA">
        <w:t xml:space="preserve"> of challenging the validity of decisions or actions under the Act pursuant to s 75(v) </w:t>
      </w:r>
      <w:r w:rsidR="007A19B0">
        <w:t xml:space="preserve">of the </w:t>
      </w:r>
      <w:r w:rsidR="007A19B0" w:rsidRPr="00C20FF2">
        <w:rPr>
          <w:i/>
          <w:iCs/>
        </w:rPr>
        <w:t>Constitution</w:t>
      </w:r>
      <w:r w:rsidR="007A19B0">
        <w:rPr>
          <w:i/>
          <w:iCs/>
        </w:rPr>
        <w:t xml:space="preserve"> </w:t>
      </w:r>
      <w:r w:rsidR="005472EA">
        <w:t>or s 39B(1) of the Judiciary Act.</w:t>
      </w:r>
    </w:p>
    <w:p w14:paraId="0B5B4D35" w14:textId="683A1868" w:rsidR="00636268" w:rsidRPr="00684840" w:rsidRDefault="00071484" w:rsidP="00071484">
      <w:pPr>
        <w:pStyle w:val="ParaNumbering"/>
        <w:tabs>
          <w:tab w:val="clear" w:pos="720"/>
        </w:tabs>
      </w:pPr>
      <w:r w:rsidRPr="00087CA8">
        <w:t>Fourthly</w:t>
      </w:r>
      <w:r>
        <w:t xml:space="preserve">, the appellant </w:t>
      </w:r>
      <w:r w:rsidR="005543FE">
        <w:t xml:space="preserve">submitted that the primary judge was wrong to adopt the Minister’s reading down because s 15A and its analogues permit partial disapplication only when an impugned provision is capable of operating </w:t>
      </w:r>
      <w:r w:rsidR="00F644B4">
        <w:t>in</w:t>
      </w:r>
      <w:r w:rsidR="005543FE">
        <w:t xml:space="preserve"> a distributive manner in respect of </w:t>
      </w:r>
      <w:proofErr w:type="gramStart"/>
      <w:r w:rsidR="005543FE">
        <w:t>each and every</w:t>
      </w:r>
      <w:proofErr w:type="gramEnd"/>
      <w:r w:rsidR="005543FE">
        <w:t xml:space="preserve"> part of the subject ma</w:t>
      </w:r>
      <w:r w:rsidR="005543FE" w:rsidRPr="00684840">
        <w:t xml:space="preserve">tter, and its operation can be confined to those parts which are within power. </w:t>
      </w:r>
      <w:r w:rsidR="00D140CD" w:rsidRPr="00684840">
        <w:t>I</w:t>
      </w:r>
      <w:r w:rsidR="00A52B80" w:rsidRPr="00684840">
        <w:t>t was submitted</w:t>
      </w:r>
      <w:r w:rsidR="00EE344A" w:rsidRPr="00684840">
        <w:t>, however, that</w:t>
      </w:r>
      <w:r w:rsidR="00A52B80" w:rsidRPr="00684840">
        <w:t xml:space="preserve"> </w:t>
      </w:r>
      <w:r w:rsidRPr="00684840">
        <w:t>partial disapplication (i</w:t>
      </w:r>
      <w:r w:rsidR="00AD6C26">
        <w:t>.</w:t>
      </w:r>
      <w:r w:rsidRPr="00684840">
        <w:t>e</w:t>
      </w:r>
      <w:r w:rsidR="00AD6C26">
        <w:t>.,</w:t>
      </w:r>
      <w:r w:rsidRPr="00684840">
        <w:t xml:space="preserve"> reading down) </w:t>
      </w:r>
      <w:r w:rsidR="005543FE" w:rsidRPr="00684840">
        <w:t>could not</w:t>
      </w:r>
      <w:r w:rsidRPr="00684840">
        <w:t xml:space="preserve"> be done in the manner suggested because people do things for many different purposes</w:t>
      </w:r>
      <w:r w:rsidR="00A52B80" w:rsidRPr="00684840">
        <w:t xml:space="preserve">, </w:t>
      </w:r>
      <w:r w:rsidR="00A52B80" w:rsidRPr="00684840">
        <w:lastRenderedPageBreak/>
        <w:t xml:space="preserve">with the result that </w:t>
      </w:r>
      <w:r w:rsidRPr="00684840">
        <w:t xml:space="preserve">the provision is not capable of operating in a distributive manner in respect of </w:t>
      </w:r>
      <w:proofErr w:type="gramStart"/>
      <w:r w:rsidRPr="00684840">
        <w:t>each and every</w:t>
      </w:r>
      <w:proofErr w:type="gramEnd"/>
      <w:r w:rsidRPr="00684840">
        <w:t xml:space="preserve"> part of the subject matter.</w:t>
      </w:r>
    </w:p>
    <w:p w14:paraId="42AABFC6" w14:textId="52BA1D38" w:rsidR="00E85F2F" w:rsidRPr="00684840" w:rsidRDefault="00071484" w:rsidP="00AE0FB1">
      <w:pPr>
        <w:pStyle w:val="ParaNumbering"/>
        <w:tabs>
          <w:tab w:val="clear" w:pos="720"/>
        </w:tabs>
      </w:pPr>
      <w:r w:rsidRPr="00684840">
        <w:t xml:space="preserve">That point </w:t>
      </w:r>
      <w:r w:rsidR="00B20466" w:rsidRPr="00684840">
        <w:t>is</w:t>
      </w:r>
      <w:r w:rsidRPr="00684840">
        <w:t xml:space="preserve"> met by the Minister’s reliance on, and explanation of, “purpose”</w:t>
      </w:r>
      <w:r w:rsidR="00F637EB" w:rsidRPr="00684840">
        <w:t xml:space="preserve"> </w:t>
      </w:r>
      <w:r w:rsidR="003D3479" w:rsidRPr="00684840">
        <w:t>in an objective sense</w:t>
      </w:r>
      <w:r w:rsidR="0028798D" w:rsidRPr="00684840">
        <w:t xml:space="preserve"> </w:t>
      </w:r>
      <w:r w:rsidR="007D2864" w:rsidRPr="00684840">
        <w:t xml:space="preserve">and taken as </w:t>
      </w:r>
      <w:r w:rsidR="00C13485" w:rsidRPr="00684840">
        <w:t xml:space="preserve">meaning the ultimate end, object or goal the person seeks to achieve: </w:t>
      </w:r>
      <w:r w:rsidR="00ED5379" w:rsidRPr="0083283B">
        <w:rPr>
          <w:i/>
          <w:iCs/>
        </w:rPr>
        <w:t xml:space="preserve">Automotive Invest Pty Limited v Commissioner of Taxation </w:t>
      </w:r>
      <w:r w:rsidR="00E23976" w:rsidRPr="0083283B">
        <w:t xml:space="preserve">(2024) 98 ALJR 1245; </w:t>
      </w:r>
      <w:r w:rsidR="00ED5379" w:rsidRPr="0083283B">
        <w:t>[2024] HCA 36</w:t>
      </w:r>
      <w:r w:rsidR="00ED5379" w:rsidRPr="00684840">
        <w:rPr>
          <w:i/>
          <w:iCs/>
        </w:rPr>
        <w:t xml:space="preserve"> </w:t>
      </w:r>
      <w:r w:rsidR="00C13485" w:rsidRPr="00684840">
        <w:t>at [110]</w:t>
      </w:r>
      <w:r w:rsidR="001136FA" w:rsidRPr="00684840">
        <w:t xml:space="preserve"> (Edelman, Steward and Gleeson JJ)</w:t>
      </w:r>
      <w:r w:rsidR="00C13485" w:rsidRPr="00684840">
        <w:t xml:space="preserve">. Moreover, </w:t>
      </w:r>
      <w:r w:rsidR="007D2864" w:rsidRPr="00684840">
        <w:t xml:space="preserve">there are </w:t>
      </w:r>
      <w:r w:rsidR="00C13485" w:rsidRPr="00684840">
        <w:t xml:space="preserve">numerous </w:t>
      </w:r>
      <w:r w:rsidR="00A94EED" w:rsidRPr="00684840">
        <w:t xml:space="preserve">examples of reading down that turn </w:t>
      </w:r>
      <w:r w:rsidR="00FD220C" w:rsidRPr="00684840">
        <w:t xml:space="preserve">on the object of a person’s actions or activities, even though that </w:t>
      </w:r>
      <w:r w:rsidR="000616A2" w:rsidRPr="00684840">
        <w:t xml:space="preserve">might raise questions of fact and characterisation: </w:t>
      </w:r>
      <w:r w:rsidR="00B46E44" w:rsidRPr="0083283B">
        <w:rPr>
          <w:i/>
          <w:iCs/>
        </w:rPr>
        <w:t xml:space="preserve">Australian Coarse Grains Pool Pty Ltd v Barley </w:t>
      </w:r>
      <w:r w:rsidR="00211CDB" w:rsidRPr="0083283B">
        <w:rPr>
          <w:i/>
          <w:iCs/>
        </w:rPr>
        <w:t>M</w:t>
      </w:r>
      <w:r w:rsidR="00B46E44" w:rsidRPr="0083283B">
        <w:rPr>
          <w:i/>
          <w:iCs/>
        </w:rPr>
        <w:t xml:space="preserve">arketing Board </w:t>
      </w:r>
      <w:r w:rsidR="00B46E44" w:rsidRPr="0083283B">
        <w:t>(198</w:t>
      </w:r>
      <w:r w:rsidR="00081D25" w:rsidRPr="0083283B">
        <w:t>5</w:t>
      </w:r>
      <w:r w:rsidR="00B46E44" w:rsidRPr="0083283B">
        <w:t xml:space="preserve">) 157 CLR </w:t>
      </w:r>
      <w:r w:rsidR="00085B15" w:rsidRPr="0083283B">
        <w:t>605</w:t>
      </w:r>
      <w:r w:rsidR="00E23976" w:rsidRPr="0083283B">
        <w:t>; [1985] HCA 38</w:t>
      </w:r>
      <w:r w:rsidR="00085B15" w:rsidRPr="00684840">
        <w:t xml:space="preserve"> at </w:t>
      </w:r>
      <w:r w:rsidR="00085B15" w:rsidRPr="00087CA8">
        <w:t>648</w:t>
      </w:r>
      <w:r w:rsidR="00AE0FB1" w:rsidRPr="00087CA8">
        <w:t>–</w:t>
      </w:r>
      <w:r w:rsidR="00085B15" w:rsidRPr="00087CA8">
        <w:t>650 (Brennan J</w:t>
      </w:r>
      <w:r w:rsidR="00211CDB" w:rsidRPr="00087CA8">
        <w:t>, dissenting on the main point</w:t>
      </w:r>
      <w:r w:rsidR="00085B15" w:rsidRPr="00087CA8">
        <w:t>)</w:t>
      </w:r>
      <w:r w:rsidR="00085B15" w:rsidRPr="00684840">
        <w:t xml:space="preserve">; </w:t>
      </w:r>
      <w:r w:rsidR="000616A2" w:rsidRPr="00684840">
        <w:rPr>
          <w:i/>
          <w:iCs/>
        </w:rPr>
        <w:t>Bourke</w:t>
      </w:r>
      <w:r w:rsidR="00AB378D">
        <w:rPr>
          <w:i/>
          <w:iCs/>
        </w:rPr>
        <w:t xml:space="preserve"> </w:t>
      </w:r>
      <w:r w:rsidR="00AB378D" w:rsidRPr="00087CA8">
        <w:t xml:space="preserve">at </w:t>
      </w:r>
      <w:r w:rsidR="00DA03DC">
        <w:t xml:space="preserve">291 (Mason CJ, Brennan, Deane, Dawson, Toohey, </w:t>
      </w:r>
      <w:proofErr w:type="spellStart"/>
      <w:r w:rsidR="00DA03DC">
        <w:t>Gaudron</w:t>
      </w:r>
      <w:proofErr w:type="spellEnd"/>
      <w:r w:rsidR="00DA03DC">
        <w:t>, and McHugh JJ)</w:t>
      </w:r>
      <w:r w:rsidR="00AD6C26">
        <w:t>;</w:t>
      </w:r>
      <w:r w:rsidR="00B574F5" w:rsidRPr="00684840">
        <w:rPr>
          <w:i/>
          <w:iCs/>
        </w:rPr>
        <w:t xml:space="preserve"> </w:t>
      </w:r>
      <w:r w:rsidR="000616A2" w:rsidRPr="00684840">
        <w:rPr>
          <w:i/>
          <w:iCs/>
        </w:rPr>
        <w:t>Nolan</w:t>
      </w:r>
      <w:r w:rsidR="00AB378D">
        <w:rPr>
          <w:i/>
          <w:iCs/>
        </w:rPr>
        <w:t xml:space="preserve"> </w:t>
      </w:r>
      <w:r w:rsidR="00AB378D" w:rsidRPr="00087CA8">
        <w:t xml:space="preserve">at </w:t>
      </w:r>
      <w:r w:rsidR="0013150B">
        <w:t>486 (Brennan and Toohey JJ)</w:t>
      </w:r>
      <w:r w:rsidR="00AD6C26">
        <w:t>;</w:t>
      </w:r>
      <w:r w:rsidR="00B574F5" w:rsidRPr="00684840">
        <w:t xml:space="preserve"> </w:t>
      </w:r>
      <w:proofErr w:type="spellStart"/>
      <w:r w:rsidR="00B574F5" w:rsidRPr="00684840">
        <w:rPr>
          <w:i/>
          <w:iCs/>
        </w:rPr>
        <w:t>Taj</w:t>
      </w:r>
      <w:r w:rsidR="00240638" w:rsidRPr="00684840">
        <w:rPr>
          <w:i/>
          <w:iCs/>
        </w:rPr>
        <w:t>j</w:t>
      </w:r>
      <w:r w:rsidR="00B574F5" w:rsidRPr="00684840">
        <w:rPr>
          <w:i/>
          <w:iCs/>
        </w:rPr>
        <w:t>our</w:t>
      </w:r>
      <w:proofErr w:type="spellEnd"/>
      <w:r w:rsidR="00B574F5" w:rsidRPr="00684840">
        <w:rPr>
          <w:i/>
          <w:iCs/>
        </w:rPr>
        <w:t xml:space="preserve"> </w:t>
      </w:r>
      <w:r w:rsidR="00B574F5" w:rsidRPr="00684840">
        <w:t>at [171] (</w:t>
      </w:r>
      <w:proofErr w:type="spellStart"/>
      <w:r w:rsidR="00B574F5" w:rsidRPr="00684840">
        <w:t>Gageler</w:t>
      </w:r>
      <w:proofErr w:type="spellEnd"/>
      <w:r w:rsidR="00B574F5" w:rsidRPr="00684840">
        <w:t xml:space="preserve"> J)</w:t>
      </w:r>
      <w:r w:rsidR="000616A2" w:rsidRPr="00684840">
        <w:rPr>
          <w:i/>
          <w:iCs/>
        </w:rPr>
        <w:t>.</w:t>
      </w:r>
    </w:p>
    <w:p w14:paraId="34B8A73A" w14:textId="48FFD86B" w:rsidR="000E623B" w:rsidRPr="00684840" w:rsidRDefault="00071484" w:rsidP="00161C87">
      <w:pPr>
        <w:pStyle w:val="ParaNumbering"/>
        <w:tabs>
          <w:tab w:val="clear" w:pos="720"/>
        </w:tabs>
      </w:pPr>
      <w:r w:rsidRPr="00C20FF2">
        <w:t>Fifthly</w:t>
      </w:r>
      <w:r w:rsidRPr="00684840">
        <w:t xml:space="preserve">, the appellant </w:t>
      </w:r>
      <w:r w:rsidR="00E513D2" w:rsidRPr="00684840">
        <w:t>submitted</w:t>
      </w:r>
      <w:r w:rsidRPr="00684840">
        <w:t xml:space="preserve"> that the </w:t>
      </w:r>
      <w:r w:rsidR="00E513D2" w:rsidRPr="00684840">
        <w:t xml:space="preserve">Minister’s </w:t>
      </w:r>
      <w:r w:rsidRPr="00684840">
        <w:t>reading down</w:t>
      </w:r>
      <w:r w:rsidR="00C1734B" w:rsidRPr="00684840">
        <w:t>,</w:t>
      </w:r>
      <w:r w:rsidRPr="00684840">
        <w:t xml:space="preserve"> </w:t>
      </w:r>
      <w:r w:rsidR="00E513D2" w:rsidRPr="00684840">
        <w:t>adopted by the primary judge</w:t>
      </w:r>
      <w:r w:rsidR="00C1734B" w:rsidRPr="00684840">
        <w:t>,</w:t>
      </w:r>
      <w:r w:rsidR="00E513D2" w:rsidRPr="00684840">
        <w:t xml:space="preserve"> had the effect of prohibiting a designated person from mounting a s 75(v) challenge in relation to any governmental decision made under any law other than the </w:t>
      </w:r>
      <w:r w:rsidR="00EB127F" w:rsidRPr="00684840">
        <w:t>Act</w:t>
      </w:r>
      <w:r w:rsidR="00E513D2" w:rsidRPr="00684840">
        <w:t xml:space="preserve"> itself</w:t>
      </w:r>
      <w:r w:rsidR="00427D74" w:rsidRPr="00684840">
        <w:t xml:space="preserve"> and his Honour did </w:t>
      </w:r>
      <w:r w:rsidRPr="00684840">
        <w:t>not deal with the subversion of s 75(v) in cases other tha</w:t>
      </w:r>
      <w:r w:rsidR="0078139D" w:rsidRPr="00684840">
        <w:t>n</w:t>
      </w:r>
      <w:r w:rsidRPr="00684840">
        <w:t xml:space="preserve"> to challenge a decision or action under the </w:t>
      </w:r>
      <w:r w:rsidR="00502B96">
        <w:t>Act</w:t>
      </w:r>
      <w:r w:rsidR="00A5138E" w:rsidRPr="00684840">
        <w:t>.</w:t>
      </w:r>
    </w:p>
    <w:p w14:paraId="15C85EAF" w14:textId="253FFC13" w:rsidR="0051346F" w:rsidRPr="00FD7447" w:rsidRDefault="00161C87" w:rsidP="00A16C08">
      <w:pPr>
        <w:pStyle w:val="ParaNumbering"/>
        <w:tabs>
          <w:tab w:val="clear" w:pos="720"/>
        </w:tabs>
      </w:pPr>
      <w:r w:rsidRPr="00FD7447">
        <w:t xml:space="preserve">This submission does not reflect the primary judge’s reasons. </w:t>
      </w:r>
      <w:r w:rsidR="0051346F" w:rsidRPr="00FD7447">
        <w:t>T</w:t>
      </w:r>
      <w:r w:rsidR="00777646" w:rsidRPr="00FD7447">
        <w:t>he primary judge noted at J</w:t>
      </w:r>
      <w:r w:rsidR="0051346F" w:rsidRPr="00FD7447">
        <w:t> </w:t>
      </w:r>
      <w:r w:rsidR="00777646" w:rsidRPr="00FD7447">
        <w:t xml:space="preserve">[75] that circumstances could be imagined in which a person or entity designated under the Regulations might be affected by a decision of an officer of the Commonwealth made under other legislation (or in the exercise of the non-statutory executive power) and seek to have that decision set aside in proceedings commenced under s 75(v). His Honour observed that regs 14 and 15, if read according to their terms, would also make it extremely difficult, if not practically impossible, for those proceedings to be maintained. In those circumstances, his Honour observed there was much to be said for the view that a subversion of s 75(v) would occur, </w:t>
      </w:r>
      <w:r w:rsidR="009456F1" w:rsidRPr="00FD7447">
        <w:t xml:space="preserve">even if it </w:t>
      </w:r>
      <w:r w:rsidR="00777646" w:rsidRPr="00FD7447">
        <w:t>would not have the “obvious vice” of making the designation decision self-insulating: J</w:t>
      </w:r>
      <w:r w:rsidR="00936211">
        <w:t> </w:t>
      </w:r>
      <w:r w:rsidR="00777646" w:rsidRPr="00FD7447">
        <w:t>[75].</w:t>
      </w:r>
    </w:p>
    <w:p w14:paraId="4C9A3A01" w14:textId="4241AB56" w:rsidR="00F11070" w:rsidRDefault="0051346F" w:rsidP="00A16C08">
      <w:pPr>
        <w:pStyle w:val="ParaNumbering"/>
        <w:tabs>
          <w:tab w:val="clear" w:pos="720"/>
        </w:tabs>
      </w:pPr>
      <w:r>
        <w:t xml:space="preserve">The primary judge did not consider that this issue needed to be further pursued </w:t>
      </w:r>
      <w:proofErr w:type="gramStart"/>
      <w:r>
        <w:t>in light of</w:t>
      </w:r>
      <w:proofErr w:type="gramEnd"/>
      <w:r>
        <w:t xml:space="preserve"> regs 14 and 15 being read down in the manner already discussed. The regulations would be “inapplicable to the extent required in order to prevent subversion of the proper exercise of the jurisdiction in s 75(v) and its analogues”: J [76]. His Honour further noted on this conclusion that it did not matter that a “wide field for argument in future cases” was left open concerning the scope of the constitutional limitation, citing </w:t>
      </w:r>
      <w:proofErr w:type="spellStart"/>
      <w:r>
        <w:rPr>
          <w:i/>
          <w:iCs/>
        </w:rPr>
        <w:t>Tajjour</w:t>
      </w:r>
      <w:proofErr w:type="spellEnd"/>
      <w:r>
        <w:rPr>
          <w:i/>
          <w:iCs/>
        </w:rPr>
        <w:t xml:space="preserve"> </w:t>
      </w:r>
      <w:r>
        <w:t>at [172] (</w:t>
      </w:r>
      <w:proofErr w:type="spellStart"/>
      <w:r>
        <w:t>Gageler</w:t>
      </w:r>
      <w:proofErr w:type="spellEnd"/>
      <w:r>
        <w:t xml:space="preserve"> J): J [77].</w:t>
      </w:r>
      <w:r w:rsidR="00AC655D">
        <w:t xml:space="preserve"> </w:t>
      </w:r>
      <w:r w:rsidR="00443471" w:rsidRPr="00684840">
        <w:t xml:space="preserve">It </w:t>
      </w:r>
      <w:r w:rsidR="003B3389" w:rsidRPr="00684840">
        <w:t xml:space="preserve">seems to </w:t>
      </w:r>
      <w:r w:rsidR="003B3389" w:rsidRPr="00684840">
        <w:lastRenderedPageBreak/>
        <w:t xml:space="preserve">us </w:t>
      </w:r>
      <w:r w:rsidR="00443471" w:rsidRPr="00684840">
        <w:t xml:space="preserve">that the constitutional limitation applies equally whether the invocation of s 75(v) jurisdiction is against a </w:t>
      </w:r>
      <w:r w:rsidR="005E7220" w:rsidRPr="00684840">
        <w:t xml:space="preserve">decision or </w:t>
      </w:r>
      <w:r w:rsidR="00443471" w:rsidRPr="00684840">
        <w:t>step taken under the Act or some other exercise of statutory or non-statutory power</w:t>
      </w:r>
      <w:r w:rsidR="003B3389" w:rsidRPr="00684840">
        <w:t xml:space="preserve">: </w:t>
      </w:r>
      <w:r w:rsidR="00BA080B" w:rsidRPr="00A16C08">
        <w:rPr>
          <w:i/>
          <w:iCs/>
        </w:rPr>
        <w:t xml:space="preserve">Graham </w:t>
      </w:r>
      <w:r w:rsidR="00BA080B" w:rsidRPr="00684840">
        <w:t>at [66]</w:t>
      </w:r>
      <w:r w:rsidR="00AB378D">
        <w:t xml:space="preserve"> </w:t>
      </w:r>
      <w:r w:rsidR="00AB378D" w:rsidRPr="00684840">
        <w:t xml:space="preserve">(Kiefel CJ, Bell, </w:t>
      </w:r>
      <w:proofErr w:type="spellStart"/>
      <w:r w:rsidR="00AB378D" w:rsidRPr="00684840">
        <w:t>Gageler</w:t>
      </w:r>
      <w:proofErr w:type="spellEnd"/>
      <w:r w:rsidR="00AB378D" w:rsidRPr="00684840">
        <w:t>, Keane, Nettle and Gordon JJ)</w:t>
      </w:r>
      <w:r w:rsidR="00443471" w:rsidRPr="00684840">
        <w:t xml:space="preserve">. </w:t>
      </w:r>
      <w:r w:rsidR="00466F2B">
        <w:t xml:space="preserve">In our view, </w:t>
      </w:r>
      <w:r w:rsidR="00B21C6C">
        <w:t>there was no error in his Honour’s conclusions</w:t>
      </w:r>
      <w:r w:rsidR="00776C9F">
        <w:t>.</w:t>
      </w:r>
    </w:p>
    <w:p w14:paraId="74AA1065" w14:textId="6C56E093" w:rsidR="000C70B3" w:rsidRDefault="000C70B3" w:rsidP="009E3467">
      <w:pPr>
        <w:pStyle w:val="ParaNumbering"/>
        <w:tabs>
          <w:tab w:val="clear" w:pos="720"/>
        </w:tabs>
      </w:pPr>
      <w:r>
        <w:t xml:space="preserve">Reference was made by the appellant in supplementary submissions to the rejection by </w:t>
      </w:r>
      <w:proofErr w:type="spellStart"/>
      <w:r>
        <w:t>Gageler</w:t>
      </w:r>
      <w:proofErr w:type="spellEnd"/>
      <w:r>
        <w:t> CJ, Gordon, Gleeson and Jagot JJ (at [66]</w:t>
      </w:r>
      <w:proofErr w:type="gramStart"/>
      <w:r w:rsidR="009E3467">
        <w:t>–</w:t>
      </w:r>
      <w:r>
        <w:t>[</w:t>
      </w:r>
      <w:proofErr w:type="gramEnd"/>
      <w:r>
        <w:t>76]) of the possibility of reading down cl </w:t>
      </w:r>
      <w:r w:rsidR="00B1067A">
        <w:t xml:space="preserve">070.612A(1) of Sch 2 of the Migration Regulations in </w:t>
      </w:r>
      <w:r w:rsidR="00B1067A" w:rsidRPr="009E3467">
        <w:rPr>
          <w:b/>
          <w:bCs/>
          <w:i/>
          <w:iCs/>
        </w:rPr>
        <w:t>YBFZ</w:t>
      </w:r>
      <w:r w:rsidR="00B1067A" w:rsidRPr="009E3467">
        <w:rPr>
          <w:i/>
          <w:iCs/>
        </w:rPr>
        <w:t xml:space="preserve"> v Minister for Immigration, Citizenship and Multicultural Affairs</w:t>
      </w:r>
      <w:r w:rsidR="00B1067A">
        <w:t xml:space="preserve"> </w:t>
      </w:r>
      <w:r w:rsidR="009C68A3">
        <w:t xml:space="preserve">(2024) 99 ALJR 1; </w:t>
      </w:r>
      <w:r w:rsidR="00B1067A">
        <w:t xml:space="preserve">[2024] HCA 40. However, there is nothing said by the plurality in </w:t>
      </w:r>
      <w:r w:rsidR="00B1067A" w:rsidRPr="009E3467">
        <w:rPr>
          <w:i/>
          <w:iCs/>
        </w:rPr>
        <w:t>YBFZ</w:t>
      </w:r>
      <w:r w:rsidR="00B1067A">
        <w:t xml:space="preserve"> which overturns the constructional analysis adopted by the primary judge. The cited passages do not signal a new approach to reading down.</w:t>
      </w:r>
    </w:p>
    <w:p w14:paraId="58AF46A4" w14:textId="2ED0376D" w:rsidR="00B1067A" w:rsidRPr="00FD7447" w:rsidRDefault="00853601" w:rsidP="00A16C08">
      <w:pPr>
        <w:pStyle w:val="ParaNumbering"/>
        <w:tabs>
          <w:tab w:val="clear" w:pos="720"/>
        </w:tabs>
      </w:pPr>
      <w:r w:rsidRPr="00FD7447">
        <w:t xml:space="preserve">As noted by the Minister, there are key differences in the regulations considered in </w:t>
      </w:r>
      <w:r w:rsidRPr="00FD7447">
        <w:rPr>
          <w:i/>
          <w:iCs/>
        </w:rPr>
        <w:t>YBFZ</w:t>
      </w:r>
      <w:r w:rsidRPr="00FD7447">
        <w:t xml:space="preserve"> and those considered here. The plurality’s reasoning concerned statutory construction, rather than reading down by </w:t>
      </w:r>
      <w:r w:rsidR="00284C32" w:rsidRPr="00FD7447">
        <w:t>w</w:t>
      </w:r>
      <w:r w:rsidRPr="00FD7447">
        <w:t xml:space="preserve">ay of s 15A; and in any event, the relevant limitation proposed in </w:t>
      </w:r>
      <w:r w:rsidRPr="00FD7447">
        <w:rPr>
          <w:i/>
          <w:iCs/>
        </w:rPr>
        <w:t>YBFZ</w:t>
      </w:r>
      <w:r w:rsidRPr="00FD7447">
        <w:t xml:space="preserve"> </w:t>
      </w:r>
      <w:r w:rsidR="00D6792D" w:rsidRPr="00FD7447">
        <w:t xml:space="preserve">was not derived from the text of the </w:t>
      </w:r>
      <w:proofErr w:type="gramStart"/>
      <w:r w:rsidR="00D6792D" w:rsidRPr="00FD7447">
        <w:rPr>
          <w:i/>
          <w:iCs/>
        </w:rPr>
        <w:t>Constitution</w:t>
      </w:r>
      <w:r w:rsidR="00D6792D" w:rsidRPr="00FD7447">
        <w:t>, but</w:t>
      </w:r>
      <w:proofErr w:type="gramEnd"/>
      <w:r w:rsidR="00D6792D" w:rsidRPr="00FD7447">
        <w:t xml:space="preserve"> instead derived from the text of the Migration Regulations and the statutory scheme. By contrast, it is s 75(v)</w:t>
      </w:r>
      <w:r w:rsidR="006A65B5" w:rsidRPr="00FD7447">
        <w:t xml:space="preserve"> which supplies the applicable standard here. Further, the plurality in </w:t>
      </w:r>
      <w:r w:rsidR="006A65B5" w:rsidRPr="00FD7447">
        <w:rPr>
          <w:i/>
          <w:iCs/>
        </w:rPr>
        <w:t>YBFZ</w:t>
      </w:r>
      <w:r w:rsidR="006A65B5" w:rsidRPr="00FD7447">
        <w:t xml:space="preserve"> noted the inconsistency between the proposed limitation and its surrounding context and “multiplicity </w:t>
      </w:r>
      <w:r w:rsidR="008A34B5" w:rsidRPr="00FD7447">
        <w:t xml:space="preserve">of </w:t>
      </w:r>
      <w:r w:rsidR="006A65B5" w:rsidRPr="00FD7447">
        <w:t xml:space="preserve">purposes”: at [67]. That is not the case here, for the policy of the Act was </w:t>
      </w:r>
      <w:r w:rsidR="00641103" w:rsidRPr="00FD7447">
        <w:t xml:space="preserve">not </w:t>
      </w:r>
      <w:r w:rsidR="006A65B5" w:rsidRPr="00FD7447">
        <w:t>to put a person outside the protection of the law for all purposes</w:t>
      </w:r>
      <w:r w:rsidR="00EB6616" w:rsidRPr="00FD7447">
        <w:t xml:space="preserve">; rather it was to limit common law rights (see paragraph </w:t>
      </w:r>
      <w:r w:rsidR="00991DD2" w:rsidRPr="00FD7447">
        <w:fldChar w:fldCharType="begin"/>
      </w:r>
      <w:r w:rsidR="00991DD2" w:rsidRPr="00FD7447">
        <w:instrText xml:space="preserve"> REF _Ref191737989 \r \h </w:instrText>
      </w:r>
      <w:r w:rsidR="00991DD2" w:rsidRPr="00FD7447">
        <w:fldChar w:fldCharType="separate"/>
      </w:r>
      <w:r w:rsidR="000B3B3D">
        <w:t>68</w:t>
      </w:r>
      <w:r w:rsidR="00991DD2" w:rsidRPr="00FD7447">
        <w:fldChar w:fldCharType="end"/>
      </w:r>
      <w:r w:rsidR="00931B55" w:rsidRPr="00FD7447">
        <w:t xml:space="preserve"> </w:t>
      </w:r>
      <w:r w:rsidR="009D4601" w:rsidRPr="00FD7447">
        <w:t>above). A limitation preserving the reach of s 75(v) would be consistent with such a purpose.</w:t>
      </w:r>
    </w:p>
    <w:p w14:paraId="68A8C53B" w14:textId="48FD1783" w:rsidR="00071484" w:rsidRDefault="00071484" w:rsidP="00071484">
      <w:pPr>
        <w:pStyle w:val="ParaNumbering"/>
        <w:tabs>
          <w:tab w:val="clear" w:pos="720"/>
        </w:tabs>
      </w:pPr>
      <w:r w:rsidRPr="00071484">
        <w:t xml:space="preserve">For those reasons, </w:t>
      </w:r>
      <w:r w:rsidR="00D26713">
        <w:t xml:space="preserve">ANOA </w:t>
      </w:r>
      <w:r w:rsidRPr="00071484">
        <w:t>Ground</w:t>
      </w:r>
      <w:r w:rsidR="00D26713">
        <w:t>s</w:t>
      </w:r>
      <w:r w:rsidRPr="00071484">
        <w:t xml:space="preserve"> </w:t>
      </w:r>
      <w:r w:rsidR="00C6465B">
        <w:t>2</w:t>
      </w:r>
      <w:r w:rsidR="00133EFC">
        <w:t xml:space="preserve"> and </w:t>
      </w:r>
      <w:r w:rsidR="00C6465B">
        <w:t xml:space="preserve">3 </w:t>
      </w:r>
      <w:r w:rsidRPr="00071484">
        <w:t>fail.</w:t>
      </w:r>
    </w:p>
    <w:p w14:paraId="38837B9B" w14:textId="28B70208" w:rsidR="005E77F9" w:rsidRPr="005E77F9" w:rsidRDefault="00D9537E" w:rsidP="00087CA8">
      <w:pPr>
        <w:pStyle w:val="Heading2"/>
      </w:pPr>
      <w:bookmarkStart w:id="44" w:name="_Ref193875050"/>
      <w:r>
        <w:t>The broader Ch III argument</w:t>
      </w:r>
      <w:r w:rsidR="0042056A">
        <w:t xml:space="preserve"> </w:t>
      </w:r>
      <w:r w:rsidR="00BD6107">
        <w:t>[</w:t>
      </w:r>
      <w:r w:rsidR="00133EFC">
        <w:t>ANOA Grounds 1, 4, 5 and 6</w:t>
      </w:r>
      <w:r w:rsidR="00BD6107">
        <w:t>]</w:t>
      </w:r>
      <w:bookmarkEnd w:id="44"/>
    </w:p>
    <w:p w14:paraId="43BDB4D9" w14:textId="0FD5AD7F" w:rsidR="00ED0B8E" w:rsidRPr="00C57E57" w:rsidRDefault="008914E0" w:rsidP="00ED0B8E">
      <w:pPr>
        <w:pStyle w:val="ParaNumbering"/>
        <w:tabs>
          <w:tab w:val="clear" w:pos="720"/>
        </w:tabs>
      </w:pPr>
      <w:r>
        <w:t xml:space="preserve">Before the primary judge, the </w:t>
      </w:r>
      <w:r w:rsidR="00062779">
        <w:t xml:space="preserve">appellant had put </w:t>
      </w:r>
      <w:r w:rsidR="00666CED">
        <w:t>a</w:t>
      </w:r>
      <w:r w:rsidR="00A7230D">
        <w:t xml:space="preserve"> much broader argument </w:t>
      </w:r>
      <w:r w:rsidR="00446C6E">
        <w:t>relating to invalidity arising from Ch III</w:t>
      </w:r>
      <w:r w:rsidR="00F17930">
        <w:t xml:space="preserve">, raising arguments </w:t>
      </w:r>
      <w:r w:rsidR="00255A5D">
        <w:t>in relation</w:t>
      </w:r>
      <w:r w:rsidR="00F17930">
        <w:t xml:space="preserve"> to ss 75, 76 and 77 of the </w:t>
      </w:r>
      <w:r w:rsidR="00F17930" w:rsidRPr="00C20FF2">
        <w:rPr>
          <w:i/>
          <w:iCs/>
        </w:rPr>
        <w:t>Constitution</w:t>
      </w:r>
      <w:r w:rsidR="00A7230D">
        <w:t xml:space="preserve">: J [78]. </w:t>
      </w:r>
      <w:r w:rsidR="00255A5D">
        <w:t xml:space="preserve">The appellant’s </w:t>
      </w:r>
      <w:r w:rsidR="00154FD8">
        <w:t>arguments</w:t>
      </w:r>
      <w:r w:rsidR="00255A5D">
        <w:t xml:space="preserve"> in the appeal </w:t>
      </w:r>
      <w:r w:rsidR="00154FD8">
        <w:t>were much narrower</w:t>
      </w:r>
      <w:r w:rsidR="00BF1048">
        <w:t>.</w:t>
      </w:r>
      <w:r w:rsidR="00255A5D">
        <w:t xml:space="preserve"> </w:t>
      </w:r>
      <w:r w:rsidR="00444944">
        <w:t>T</w:t>
      </w:r>
      <w:r w:rsidR="0091103D">
        <w:t xml:space="preserve">he appellant made two principal arguments. First, </w:t>
      </w:r>
      <w:r w:rsidR="00431823">
        <w:t xml:space="preserve">that regs 6(b), 14 and 15 are invalid because they prohibit </w:t>
      </w:r>
      <w:r w:rsidR="007C3839">
        <w:t xml:space="preserve">the appellant from being heard at all by a court exercising the federal jurisdiction that is entrenched by s 75, and </w:t>
      </w:r>
      <w:proofErr w:type="gramStart"/>
      <w:r w:rsidR="007C3839">
        <w:t>in particular s</w:t>
      </w:r>
      <w:proofErr w:type="gramEnd"/>
      <w:r w:rsidR="007C3839">
        <w:t xml:space="preserve"> 75(iii). </w:t>
      </w:r>
      <w:r w:rsidR="001638A1">
        <w:t>Second</w:t>
      </w:r>
      <w:r w:rsidR="000A5949">
        <w:t>ly</w:t>
      </w:r>
      <w:r w:rsidR="001638A1">
        <w:t>,</w:t>
      </w:r>
      <w:r w:rsidR="006D67E9">
        <w:t xml:space="preserve"> that</w:t>
      </w:r>
      <w:r w:rsidR="001638A1">
        <w:t xml:space="preserve"> regs 6(b), 14 and 15 </w:t>
      </w:r>
      <w:r w:rsidR="00EA43E5">
        <w:t>are invalid because they prohibit the appellant from being legally represented in that jurisdiction.</w:t>
      </w:r>
    </w:p>
    <w:p w14:paraId="0B030964" w14:textId="136DAAA5" w:rsidR="00C57E57" w:rsidRPr="00276A43" w:rsidRDefault="004002D3" w:rsidP="00276A43">
      <w:pPr>
        <w:pStyle w:val="ParaNumbering"/>
        <w:rPr>
          <w:i/>
          <w:iCs/>
        </w:rPr>
      </w:pPr>
      <w:r>
        <w:t xml:space="preserve">As to the first argument, the appellant </w:t>
      </w:r>
      <w:r w:rsidR="008871DE">
        <w:t>focussed on s 75(iii) and submitted</w:t>
      </w:r>
      <w:r w:rsidR="00C57E57">
        <w:t xml:space="preserve"> that regs 6(b), 14 and 15 purport to render the Commonwealth immune from jurisdiction, inconsistently with the </w:t>
      </w:r>
      <w:r w:rsidR="00C57E57">
        <w:lastRenderedPageBreak/>
        <w:t>jurisdiction entrenched by s 75(iii) to which the Commonwealth is always subject</w:t>
      </w:r>
      <w:r w:rsidR="002F71A7">
        <w:t>, relying on</w:t>
      </w:r>
      <w:r w:rsidR="00C57E57">
        <w:t xml:space="preserve"> </w:t>
      </w:r>
      <w:r w:rsidR="00C57E57" w:rsidRPr="0083283B">
        <w:rPr>
          <w:b/>
          <w:bCs/>
          <w:i/>
          <w:iCs/>
        </w:rPr>
        <w:t>Davis</w:t>
      </w:r>
      <w:r w:rsidR="00C57E57" w:rsidRPr="0083283B">
        <w:rPr>
          <w:i/>
          <w:iCs/>
        </w:rPr>
        <w:t xml:space="preserve"> v Minister for Immigration, Citizenship, Migrant Services and Multicultural Affairs </w:t>
      </w:r>
      <w:r w:rsidR="002A4EEE" w:rsidRPr="00276A43">
        <w:t>(2023) 279 CLR 1</w:t>
      </w:r>
      <w:r w:rsidR="00F63ACE" w:rsidRPr="0083283B">
        <w:t>; [2023] HCA 10</w:t>
      </w:r>
      <w:r w:rsidR="00C57E57">
        <w:t xml:space="preserve"> at [85] (Gordon J)</w:t>
      </w:r>
      <w:r w:rsidR="00FD5B81">
        <w:t>.</w:t>
      </w:r>
    </w:p>
    <w:p w14:paraId="2ED764DD" w14:textId="7E918372" w:rsidR="00ED3296" w:rsidRDefault="008A0630" w:rsidP="00ED0B8E">
      <w:pPr>
        <w:pStyle w:val="ParaNumbering"/>
        <w:tabs>
          <w:tab w:val="clear" w:pos="720"/>
        </w:tabs>
      </w:pPr>
      <w:r>
        <w:t xml:space="preserve">Support for the proposition </w:t>
      </w:r>
      <w:r w:rsidR="004C004D">
        <w:t xml:space="preserve">regarding the entrenched jurisdiction of federal courts under </w:t>
      </w:r>
      <w:r w:rsidR="00223613">
        <w:t>s</w:t>
      </w:r>
      <w:r w:rsidR="004C004D">
        <w:t>s</w:t>
      </w:r>
      <w:r w:rsidR="00B256E7">
        <w:t> </w:t>
      </w:r>
      <w:r w:rsidR="004C004D">
        <w:t xml:space="preserve">75(iii) and </w:t>
      </w:r>
      <w:r w:rsidR="00223613">
        <w:t xml:space="preserve">(v) </w:t>
      </w:r>
      <w:r>
        <w:t>is found i</w:t>
      </w:r>
      <w:r w:rsidR="00DF29F4">
        <w:t xml:space="preserve">n </w:t>
      </w:r>
      <w:r w:rsidR="00DF29F4" w:rsidRPr="0083283B">
        <w:rPr>
          <w:i/>
          <w:iCs/>
        </w:rPr>
        <w:t>Mutual Pools</w:t>
      </w:r>
      <w:r w:rsidR="008B3A81" w:rsidRPr="0083283B">
        <w:rPr>
          <w:i/>
          <w:iCs/>
        </w:rPr>
        <w:t xml:space="preserve"> </w:t>
      </w:r>
      <w:r w:rsidR="00DA1BB9" w:rsidRPr="0083283B">
        <w:rPr>
          <w:i/>
          <w:iCs/>
        </w:rPr>
        <w:t xml:space="preserve">&amp; Staff Pty Ltd v Commonwealth </w:t>
      </w:r>
      <w:r w:rsidR="00DA1BB9" w:rsidRPr="0083283B">
        <w:t>(1994) 179 CLR 155; [1994] HCA 9</w:t>
      </w:r>
      <w:r w:rsidR="00DA1BB9">
        <w:t xml:space="preserve"> </w:t>
      </w:r>
      <w:r w:rsidR="008B3A81">
        <w:t xml:space="preserve">at </w:t>
      </w:r>
      <w:r w:rsidR="00EE4798">
        <w:t xml:space="preserve">216 (McHugh J) and </w:t>
      </w:r>
      <w:r w:rsidR="00EE4798">
        <w:rPr>
          <w:i/>
          <w:iCs/>
        </w:rPr>
        <w:t xml:space="preserve">Davis </w:t>
      </w:r>
      <w:r w:rsidR="00EE4798">
        <w:t xml:space="preserve">at [85] (Gordon J). </w:t>
      </w:r>
      <w:r w:rsidR="00891992">
        <w:t>As the Minister submitted, however, the extent to which jurisdiction conferred by s 75(iii) is entrenched is far from settled.</w:t>
      </w:r>
    </w:p>
    <w:p w14:paraId="70CB618E" w14:textId="1496C100" w:rsidR="007603C2" w:rsidRDefault="00B70FB5" w:rsidP="00851CAF">
      <w:pPr>
        <w:pStyle w:val="ParaNumbering"/>
        <w:tabs>
          <w:tab w:val="clear" w:pos="720"/>
        </w:tabs>
      </w:pPr>
      <w:r w:rsidRPr="006370A9">
        <w:t xml:space="preserve">In our view, </w:t>
      </w:r>
      <w:r w:rsidR="00700F25" w:rsidRPr="006370A9">
        <w:t xml:space="preserve">it is </w:t>
      </w:r>
      <w:r w:rsidR="007C5ACE" w:rsidRPr="006370A9">
        <w:t>un</w:t>
      </w:r>
      <w:r w:rsidR="00700F25" w:rsidRPr="006370A9">
        <w:t>necessary</w:t>
      </w:r>
      <w:r w:rsidR="007C5ACE" w:rsidRPr="006370A9">
        <w:t xml:space="preserve"> and inappropriate</w:t>
      </w:r>
      <w:r w:rsidR="00700F25" w:rsidRPr="006370A9">
        <w:t xml:space="preserve">, in the circumstances of this case, for this court to decide </w:t>
      </w:r>
      <w:r w:rsidR="007C5ACE" w:rsidRPr="006370A9">
        <w:t xml:space="preserve">the constitutional issues about </w:t>
      </w:r>
      <w:r w:rsidR="007878CD">
        <w:t xml:space="preserve">the </w:t>
      </w:r>
      <w:r w:rsidR="007C5ACE" w:rsidRPr="006370A9">
        <w:t xml:space="preserve">entrenchment of s 75(iii): </w:t>
      </w:r>
      <w:r w:rsidR="007C5ACE" w:rsidRPr="0083283B">
        <w:rPr>
          <w:i/>
          <w:iCs/>
        </w:rPr>
        <w:t>CMU16 v Minister for Immigration and Border Protection</w:t>
      </w:r>
      <w:r w:rsidR="007C5ACE" w:rsidRPr="0083283B">
        <w:t xml:space="preserve"> (2020) 277 FCR 201</w:t>
      </w:r>
      <w:r w:rsidR="00A807B1" w:rsidRPr="0083283B">
        <w:t>; [2020] FCAFC 104</w:t>
      </w:r>
      <w:r w:rsidR="007C5ACE" w:rsidRPr="006370A9">
        <w:t xml:space="preserve"> at [65] (Jagot, Yates and Stewart JJ)</w:t>
      </w:r>
      <w:r w:rsidR="00AC1E60" w:rsidRPr="006370A9">
        <w:t xml:space="preserve">, citing </w:t>
      </w:r>
      <w:r w:rsidR="00D840CA" w:rsidRPr="00301F29">
        <w:rPr>
          <w:b/>
          <w:bCs/>
          <w:i/>
          <w:iCs/>
        </w:rPr>
        <w:t>Knight v Victoria</w:t>
      </w:r>
      <w:r w:rsidR="00D840CA" w:rsidRPr="0083283B">
        <w:rPr>
          <w:i/>
          <w:iCs/>
        </w:rPr>
        <w:t xml:space="preserve"> </w:t>
      </w:r>
      <w:r w:rsidR="00A807B1" w:rsidRPr="0083283B">
        <w:t xml:space="preserve">(2017) 261 CLR 306; </w:t>
      </w:r>
      <w:r w:rsidR="00212754" w:rsidRPr="0083283B">
        <w:t>[2017] HCA 29</w:t>
      </w:r>
      <w:r w:rsidR="00212754" w:rsidRPr="006370A9">
        <w:t xml:space="preserve"> at</w:t>
      </w:r>
      <w:r w:rsidR="00E76072" w:rsidRPr="006370A9">
        <w:t xml:space="preserve"> [32]</w:t>
      </w:r>
      <w:r w:rsidR="0085773A">
        <w:t xml:space="preserve"> (</w:t>
      </w:r>
      <w:r w:rsidR="00FA2E73">
        <w:t xml:space="preserve">Kiefel CJ, Bell, </w:t>
      </w:r>
      <w:proofErr w:type="spellStart"/>
      <w:r w:rsidR="00FA2E73">
        <w:t>Gageler</w:t>
      </w:r>
      <w:proofErr w:type="spellEnd"/>
      <w:r w:rsidR="00FA2E73">
        <w:t>, Keane, Nettle, Gordon and Edelman JJ).</w:t>
      </w:r>
    </w:p>
    <w:p w14:paraId="201F17A8" w14:textId="7676E65A" w:rsidR="00D377FC" w:rsidRPr="006370A9" w:rsidDel="00E63DFF" w:rsidRDefault="00D377FC" w:rsidP="00D377FC">
      <w:pPr>
        <w:pStyle w:val="ParaNumbering"/>
        <w:tabs>
          <w:tab w:val="clear" w:pos="720"/>
        </w:tabs>
      </w:pPr>
      <w:r w:rsidRPr="006370A9" w:rsidDel="00E63DFF">
        <w:t xml:space="preserve">The appellant’s proceedings are within s 75(v). No issue arises in the present proceeding about the precise extent to which jurisdiction to seek relief against the Commonwealth is entrenched by s 75(iii) because </w:t>
      </w:r>
      <w:r w:rsidDel="00E63DFF">
        <w:t>the appellant</w:t>
      </w:r>
      <w:r w:rsidRPr="006370A9" w:rsidDel="00E63DFF">
        <w:t xml:space="preserve"> does not seek to invoke s</w:t>
      </w:r>
      <w:r w:rsidDel="00E63DFF">
        <w:t> </w:t>
      </w:r>
      <w:r w:rsidRPr="006370A9" w:rsidDel="00E63DFF">
        <w:t xml:space="preserve">75(iii) alone, or at all. The examples relied upon to advance this </w:t>
      </w:r>
      <w:proofErr w:type="gramStart"/>
      <w:r w:rsidRPr="006370A9" w:rsidDel="00E63DFF">
        <w:t>particular argument</w:t>
      </w:r>
      <w:proofErr w:type="gramEnd"/>
      <w:r w:rsidRPr="006370A9" w:rsidDel="00E63DFF">
        <w:t xml:space="preserve"> were hypotheticals.</w:t>
      </w:r>
    </w:p>
    <w:p w14:paraId="0F85564C" w14:textId="4F4BEDFF" w:rsidR="0085773A" w:rsidRDefault="007603C2" w:rsidP="00DA466B">
      <w:pPr>
        <w:pStyle w:val="ParaNumbering"/>
        <w:tabs>
          <w:tab w:val="clear" w:pos="720"/>
        </w:tabs>
      </w:pPr>
      <w:r>
        <w:t xml:space="preserve">In </w:t>
      </w:r>
      <w:r w:rsidR="00434BF3" w:rsidRPr="00DA466B">
        <w:rPr>
          <w:i/>
          <w:iCs/>
        </w:rPr>
        <w:t>Knight v Victoria</w:t>
      </w:r>
      <w:r w:rsidR="00434BF3">
        <w:t xml:space="preserve">, the </w:t>
      </w:r>
      <w:r w:rsidR="0085773A">
        <w:t>Court stated</w:t>
      </w:r>
      <w:r w:rsidR="00DA466B">
        <w:t xml:space="preserve"> at [33]</w:t>
      </w:r>
      <w:r w:rsidR="0085773A">
        <w:t>:</w:t>
      </w:r>
    </w:p>
    <w:p w14:paraId="135AC2A1" w14:textId="465F16E3" w:rsidR="0085773A" w:rsidRDefault="0085773A" w:rsidP="0085773A">
      <w:pPr>
        <w:pStyle w:val="Quote1"/>
        <w:rPr>
          <w:vertAlign w:val="superscript"/>
        </w:rPr>
      </w:pPr>
      <w:r w:rsidRPr="0085773A">
        <w:t xml:space="preserve">That approach to the determination of constitutional questions means that it is ordinarily inappropriate for the Court to be drawn into a consideration of whether a legislative provision would have an invalid operation in circumstances which have not </w:t>
      </w:r>
      <w:proofErr w:type="gramStart"/>
      <w:r w:rsidRPr="0085773A">
        <w:t>arisen</w:t>
      </w:r>
      <w:proofErr w:type="gramEnd"/>
      <w:r w:rsidRPr="0085773A">
        <w:t xml:space="preserve"> and which may never arise if the provision, if invalid in that operation, would be severable and otherwise valid.  That is so even where the validity of the provision is challenged by a party sufficiently affected by the provision to have standing:  a party will not be permitted to </w:t>
      </w:r>
      <w:r w:rsidR="009E3467">
        <w:t>“</w:t>
      </w:r>
      <w:r w:rsidRPr="0085773A">
        <w:t>roam at large</w:t>
      </w:r>
      <w:r w:rsidR="009E3467">
        <w:t>”</w:t>
      </w:r>
      <w:r w:rsidRPr="0085773A">
        <w:t xml:space="preserve"> but will be confined to advancing those grounds of challenge which bear on the validity of the provision in its application to that party</w:t>
      </w:r>
      <w:r>
        <w:rPr>
          <w:vertAlign w:val="superscript"/>
        </w:rPr>
        <w:t>.</w:t>
      </w:r>
    </w:p>
    <w:p w14:paraId="11B7CB64" w14:textId="6DB673CB" w:rsidR="0085773A" w:rsidRPr="0085773A" w:rsidRDefault="0085773A" w:rsidP="00301F29">
      <w:pPr>
        <w:pStyle w:val="Quote1"/>
      </w:pPr>
      <w:r w:rsidRPr="00301F29">
        <w:t>[Footnotes omitted]</w:t>
      </w:r>
    </w:p>
    <w:p w14:paraId="37CC9E8F" w14:textId="781E3005" w:rsidR="00EA3664" w:rsidRDefault="00EA3664" w:rsidP="00EA3664">
      <w:pPr>
        <w:pStyle w:val="ParaNumbering"/>
        <w:tabs>
          <w:tab w:val="clear" w:pos="720"/>
        </w:tabs>
      </w:pPr>
      <w:r>
        <w:t xml:space="preserve">To counter the point that the arguments regarding s 75(iii) were hypothetical, the appellant </w:t>
      </w:r>
      <w:r w:rsidR="00715ABB">
        <w:t>relied on</w:t>
      </w:r>
      <w:r>
        <w:t xml:space="preserve"> </w:t>
      </w:r>
      <w:r w:rsidRPr="00276A43">
        <w:rPr>
          <w:b/>
          <w:bCs/>
          <w:i/>
          <w:iCs/>
        </w:rPr>
        <w:t>Clubb</w:t>
      </w:r>
      <w:r w:rsidRPr="0083283B">
        <w:rPr>
          <w:i/>
          <w:iCs/>
        </w:rPr>
        <w:t xml:space="preserve"> v Edwards </w:t>
      </w:r>
      <w:r w:rsidRPr="0083283B">
        <w:t>(2019) 267 CLR 171; [2019] HCA 11</w:t>
      </w:r>
      <w:r w:rsidRPr="00250CC7">
        <w:rPr>
          <w:i/>
          <w:iCs/>
        </w:rPr>
        <w:t xml:space="preserve"> </w:t>
      </w:r>
      <w:r>
        <w:t xml:space="preserve">at [333], where </w:t>
      </w:r>
      <w:r w:rsidR="000F6F26">
        <w:t>Gordon J</w:t>
      </w:r>
      <w:r>
        <w:t xml:space="preserve"> said that the fact that Mrs Clubb did not mount a positive case did not complete the necessary enquiry. </w:t>
      </w:r>
      <w:r w:rsidRPr="00BB0C10">
        <w:t xml:space="preserve">Mrs Clubb </w:t>
      </w:r>
      <w:r w:rsidRPr="00F37211">
        <w:t xml:space="preserve">was found to </w:t>
      </w:r>
      <w:r>
        <w:t xml:space="preserve">have </w:t>
      </w:r>
      <w:r w:rsidRPr="00F37211">
        <w:t>contravene</w:t>
      </w:r>
      <w:r>
        <w:t>d</w:t>
      </w:r>
      <w:r w:rsidRPr="00F37211">
        <w:t xml:space="preserve"> a law that prohibited </w:t>
      </w:r>
      <w:r>
        <w:t xml:space="preserve">certain </w:t>
      </w:r>
      <w:r w:rsidRPr="00F37211">
        <w:t>behaviour</w:t>
      </w:r>
      <w:r>
        <w:t xml:space="preserve"> if the prohibition was valid: at [326]. Mrs Clubb </w:t>
      </w:r>
      <w:r w:rsidRPr="00BB0C10">
        <w:t>contend</w:t>
      </w:r>
      <w:r>
        <w:t>ed</w:t>
      </w:r>
      <w:r w:rsidRPr="00BB0C10">
        <w:t xml:space="preserve"> that the provisions under which </w:t>
      </w:r>
      <w:r>
        <w:t>she was</w:t>
      </w:r>
      <w:r w:rsidRPr="00BB0C10">
        <w:t xml:space="preserve"> convicted impermissibly burdened the implied freedom of political communication.</w:t>
      </w:r>
      <w:r>
        <w:t xml:space="preserve"> </w:t>
      </w:r>
      <w:r w:rsidRPr="00A10C7C">
        <w:t xml:space="preserve">Mrs Clubb, </w:t>
      </w:r>
      <w:r>
        <w:t xml:space="preserve">however, </w:t>
      </w:r>
      <w:r w:rsidRPr="00A10C7C">
        <w:t xml:space="preserve">was not </w:t>
      </w:r>
      <w:proofErr w:type="gramStart"/>
      <w:r w:rsidRPr="00A10C7C">
        <w:t>in a position</w:t>
      </w:r>
      <w:proofErr w:type="gramEnd"/>
      <w:r w:rsidRPr="00A10C7C">
        <w:t xml:space="preserve"> to mount, and did not mount, a positive case that she </w:t>
      </w:r>
      <w:r w:rsidRPr="00A10C7C">
        <w:lastRenderedPageBreak/>
        <w:t>was engaged in political communication</w:t>
      </w:r>
      <w:r>
        <w:t>: at [330]. The reading down exercise undertaken by Gordon J, to consider whether the invalid provision was severable, was necessary to consider as a threshold issue because if, following the resolution o</w:t>
      </w:r>
      <w:r w:rsidR="0099118C">
        <w:t>f</w:t>
      </w:r>
      <w:r>
        <w:t xml:space="preserve"> that issue, the prohibition was invalid and not severable, then that would have saved Mrs Clubb from being in breach of it: </w:t>
      </w:r>
      <w:r w:rsidR="0099526B">
        <w:t xml:space="preserve">at </w:t>
      </w:r>
      <w:r>
        <w:t>[330]</w:t>
      </w:r>
      <w:proofErr w:type="gramStart"/>
      <w:r>
        <w:t>–[</w:t>
      </w:r>
      <w:proofErr w:type="gramEnd"/>
      <w:r>
        <w:t>336].</w:t>
      </w:r>
      <w:r w:rsidR="00F116CA">
        <w:t xml:space="preserve"> As can be seen, the facts and circumstances in </w:t>
      </w:r>
      <w:r w:rsidR="00F116CA" w:rsidRPr="00EA14A1">
        <w:rPr>
          <w:i/>
          <w:iCs/>
        </w:rPr>
        <w:t>C</w:t>
      </w:r>
      <w:r w:rsidR="00404E78">
        <w:rPr>
          <w:i/>
          <w:iCs/>
        </w:rPr>
        <w:t>l</w:t>
      </w:r>
      <w:r w:rsidR="00F116CA" w:rsidRPr="00EA14A1">
        <w:rPr>
          <w:i/>
          <w:iCs/>
        </w:rPr>
        <w:t>ubb</w:t>
      </w:r>
      <w:r w:rsidR="00F116CA">
        <w:t xml:space="preserve"> were materially different to th</w:t>
      </w:r>
      <w:r w:rsidR="002E010C">
        <w:t>e facts and circumstances</w:t>
      </w:r>
      <w:r w:rsidR="00F116CA">
        <w:t xml:space="preserve"> </w:t>
      </w:r>
      <w:r w:rsidR="002E010C">
        <w:t>of</w:t>
      </w:r>
      <w:r w:rsidR="00F116CA">
        <w:t xml:space="preserve"> this case.</w:t>
      </w:r>
      <w:r w:rsidR="002E010C">
        <w:t xml:space="preserve"> It is unnecessary to determine</w:t>
      </w:r>
      <w:r w:rsidR="004A5315">
        <w:t xml:space="preserve"> as a threshold issue the extent to which the provisions in question in this case might have to be read down to accommodate s 75(iii). </w:t>
      </w:r>
      <w:r w:rsidRPr="008840A8">
        <w:rPr>
          <w:i/>
          <w:iCs/>
        </w:rPr>
        <w:t xml:space="preserve">Clubb </w:t>
      </w:r>
      <w:r w:rsidR="009231A5" w:rsidRPr="00EA14A1">
        <w:t>accordingly</w:t>
      </w:r>
      <w:r w:rsidR="009231A5">
        <w:rPr>
          <w:i/>
          <w:iCs/>
        </w:rPr>
        <w:t xml:space="preserve"> </w:t>
      </w:r>
      <w:r>
        <w:t>does not assist the appellant.</w:t>
      </w:r>
    </w:p>
    <w:p w14:paraId="4570FE7A" w14:textId="31B2B0C6" w:rsidR="00FD5B81" w:rsidRDefault="00FD5B81" w:rsidP="00ED0B8E">
      <w:pPr>
        <w:pStyle w:val="ParaNumbering"/>
        <w:tabs>
          <w:tab w:val="clear" w:pos="720"/>
        </w:tabs>
      </w:pPr>
      <w:r>
        <w:t>As to the second argument, the appellant submitted that regs 6(b), 14 and 15 effectively “</w:t>
      </w:r>
      <w:proofErr w:type="gramStart"/>
      <w:r>
        <w:t>outlaw[</w:t>
      </w:r>
      <w:proofErr w:type="gramEnd"/>
      <w:r>
        <w:t>] legal representation before a Ch III court”</w:t>
      </w:r>
      <w:r w:rsidR="003727CE">
        <w:t>,</w:t>
      </w:r>
      <w:r>
        <w:t xml:space="preserve"> </w:t>
      </w:r>
      <w:r w:rsidR="003727CE">
        <w:t xml:space="preserve">citing </w:t>
      </w:r>
      <w:r w:rsidRPr="0083283B">
        <w:rPr>
          <w:i/>
          <w:iCs/>
        </w:rPr>
        <w:t xml:space="preserve">Western Australia v </w:t>
      </w:r>
      <w:r w:rsidRPr="0083283B">
        <w:rPr>
          <w:b/>
          <w:bCs/>
          <w:i/>
          <w:iCs/>
        </w:rPr>
        <w:t>Ward</w:t>
      </w:r>
      <w:r w:rsidRPr="0083283B">
        <w:rPr>
          <w:i/>
          <w:iCs/>
        </w:rPr>
        <w:t xml:space="preserve"> </w:t>
      </w:r>
      <w:r w:rsidRPr="0083283B">
        <w:t>(1997) 76 FCR 492</w:t>
      </w:r>
      <w:r>
        <w:rPr>
          <w:i/>
          <w:iCs/>
        </w:rPr>
        <w:t>,</w:t>
      </w:r>
      <w:r w:rsidRPr="00276A43">
        <w:t xml:space="preserve"> </w:t>
      </w:r>
      <w:r>
        <w:t>and the primary judge erred in treating the appellant’s argument as one of mere “impairment” in the procurement of legal advice and representation: J [84]</w:t>
      </w:r>
      <w:r>
        <w:rPr>
          <w:i/>
          <w:iCs/>
        </w:rPr>
        <w:t>.</w:t>
      </w:r>
    </w:p>
    <w:p w14:paraId="021043A5" w14:textId="5C3B0AC8" w:rsidR="000C1D0A" w:rsidRDefault="00C156CA" w:rsidP="00490EC7">
      <w:pPr>
        <w:pStyle w:val="ParaNumbering"/>
        <w:tabs>
          <w:tab w:val="clear" w:pos="720"/>
        </w:tabs>
      </w:pPr>
      <w:r>
        <w:t>The appellant’s second argument</w:t>
      </w:r>
      <w:r w:rsidR="00111B3E">
        <w:t xml:space="preserve"> </w:t>
      </w:r>
      <w:r>
        <w:t>also fails. The appellant relied on</w:t>
      </w:r>
      <w:r w:rsidR="00CE39C7">
        <w:t xml:space="preserve"> statements in</w:t>
      </w:r>
      <w:r>
        <w:t xml:space="preserve"> </w:t>
      </w:r>
      <w:r w:rsidR="00594014" w:rsidRPr="0083283B">
        <w:rPr>
          <w:b/>
          <w:bCs/>
          <w:i/>
          <w:iCs/>
        </w:rPr>
        <w:t>APLA</w:t>
      </w:r>
      <w:r w:rsidR="00594014" w:rsidRPr="0083283B">
        <w:rPr>
          <w:i/>
          <w:iCs/>
        </w:rPr>
        <w:t xml:space="preserve"> Ltd v Legal Services Commissione</w:t>
      </w:r>
      <w:r w:rsidR="00594014" w:rsidRPr="00637368">
        <w:rPr>
          <w:i/>
          <w:iCs/>
        </w:rPr>
        <w:t>r</w:t>
      </w:r>
      <w:r w:rsidR="00594014" w:rsidRPr="00A67C4D">
        <w:rPr>
          <w:i/>
          <w:iCs/>
        </w:rPr>
        <w:t xml:space="preserve"> (NSW)</w:t>
      </w:r>
      <w:r w:rsidR="00594014" w:rsidRPr="0083283B">
        <w:t xml:space="preserve"> (2005) 224 CLR 322; [2005] HCA 44</w:t>
      </w:r>
      <w:r w:rsidR="00187162">
        <w:t xml:space="preserve"> </w:t>
      </w:r>
      <w:r>
        <w:t xml:space="preserve">and </w:t>
      </w:r>
      <w:r w:rsidR="005C7EAC">
        <w:rPr>
          <w:i/>
          <w:iCs/>
        </w:rPr>
        <w:t xml:space="preserve">Ward. </w:t>
      </w:r>
      <w:r w:rsidR="006C37FB">
        <w:t xml:space="preserve">As the primary judge observed, however, </w:t>
      </w:r>
      <w:r w:rsidR="005C7EAC">
        <w:t xml:space="preserve">the statements in </w:t>
      </w:r>
      <w:r w:rsidRPr="006C37FB">
        <w:rPr>
          <w:i/>
          <w:iCs/>
        </w:rPr>
        <w:t>APLA</w:t>
      </w:r>
      <w:r>
        <w:t xml:space="preserve"> do not provide authority for a proposition that Ch</w:t>
      </w:r>
      <w:r w:rsidR="001D322C">
        <w:t> </w:t>
      </w:r>
      <w:r>
        <w:t>III gives constitutional force to any general concept of the rule of law</w:t>
      </w:r>
      <w:r w:rsidR="000E5659">
        <w:t xml:space="preserve">, nor do they </w:t>
      </w:r>
      <w:r>
        <w:t xml:space="preserve">support a contention that a law which compromises the exercise of </w:t>
      </w:r>
      <w:r w:rsidR="0044204C">
        <w:t>federal</w:t>
      </w:r>
      <w:r>
        <w:t xml:space="preserve"> jurisdiction, by impairing the procurement of legal advice and representation by a party or potential party, is for that reason </w:t>
      </w:r>
      <w:r w:rsidR="00BD0746">
        <w:t>unconstitutional</w:t>
      </w:r>
      <w:r w:rsidR="000E5659">
        <w:t>: J [84]</w:t>
      </w:r>
      <w:r>
        <w:t xml:space="preserve">. </w:t>
      </w:r>
      <w:r w:rsidR="00713ABE">
        <w:t>In the appeal, t</w:t>
      </w:r>
      <w:r w:rsidR="00F654FE">
        <w:t xml:space="preserve">he appellant </w:t>
      </w:r>
      <w:r w:rsidR="00713ABE">
        <w:t xml:space="preserve">also </w:t>
      </w:r>
      <w:r w:rsidR="00F654FE">
        <w:t xml:space="preserve">referred to </w:t>
      </w:r>
      <w:r w:rsidR="00F654FE">
        <w:rPr>
          <w:i/>
          <w:iCs/>
        </w:rPr>
        <w:t xml:space="preserve">APLA </w:t>
      </w:r>
      <w:r w:rsidR="00F654FE">
        <w:t xml:space="preserve">at [245] (Gummow J), which was not referred to in the primary judge’s reasons. </w:t>
      </w:r>
      <w:r w:rsidR="000C1D0A">
        <w:t xml:space="preserve">In that passage, Gummow J </w:t>
      </w:r>
      <w:r w:rsidR="00FB7431">
        <w:t>“conceded, without deciding” the point</w:t>
      </w:r>
      <w:r w:rsidR="00E2541D">
        <w:t>,</w:t>
      </w:r>
      <w:r w:rsidR="00FB7431">
        <w:t xml:space="preserve"> and thus </w:t>
      </w:r>
      <w:r w:rsidR="00EC249F">
        <w:t xml:space="preserve">it </w:t>
      </w:r>
      <w:r w:rsidR="000C1D0A">
        <w:t>does not cast doubt on the primary judge’s conclusions.</w:t>
      </w:r>
    </w:p>
    <w:p w14:paraId="6EB2822B" w14:textId="67D96D66" w:rsidR="00AA4918" w:rsidRDefault="0044204C" w:rsidP="00301F29">
      <w:pPr>
        <w:pStyle w:val="ParaNumbering"/>
        <w:keepNext/>
        <w:keepLines/>
        <w:tabs>
          <w:tab w:val="clear" w:pos="720"/>
        </w:tabs>
      </w:pPr>
      <w:r>
        <w:t xml:space="preserve">The appellant </w:t>
      </w:r>
      <w:r w:rsidR="00D26713">
        <w:t xml:space="preserve">also </w:t>
      </w:r>
      <w:r>
        <w:t xml:space="preserve">relied on the following passage in </w:t>
      </w:r>
      <w:r w:rsidRPr="00A43DB2">
        <w:rPr>
          <w:i/>
          <w:iCs/>
        </w:rPr>
        <w:t>Ward</w:t>
      </w:r>
      <w:r>
        <w:t>, where the majority stated</w:t>
      </w:r>
      <w:r w:rsidR="00AA5C65">
        <w:t xml:space="preserve"> at 497F (Hill and Sundberg JJ)</w:t>
      </w:r>
      <w:r>
        <w:t>:</w:t>
      </w:r>
    </w:p>
    <w:p w14:paraId="32682958" w14:textId="568F039E" w:rsidR="00A142D2" w:rsidRPr="00A51216" w:rsidRDefault="00A142D2" w:rsidP="00087CA8">
      <w:pPr>
        <w:pStyle w:val="Quote1"/>
      </w:pPr>
      <w:r w:rsidRPr="00A51216">
        <w:t xml:space="preserve">Were Parliament to pass a law outlawing legal representation before a Ch III court, it may well be that such a law would be held to be invalid as inconsistent with the exercise by Ch III courts of judicial power. Such representation may well be inherent in the obligation of </w:t>
      </w:r>
      <w:r w:rsidR="00A51216" w:rsidRPr="00A51216">
        <w:t>courts to provide procedural fairness.</w:t>
      </w:r>
    </w:p>
    <w:p w14:paraId="16910661" w14:textId="50EC159F" w:rsidR="00F279F3" w:rsidRPr="006370A9" w:rsidRDefault="002545B5" w:rsidP="00490EC7">
      <w:pPr>
        <w:pStyle w:val="ParaNumbering"/>
        <w:tabs>
          <w:tab w:val="clear" w:pos="720"/>
        </w:tabs>
      </w:pPr>
      <w:r w:rsidRPr="006370A9">
        <w:t xml:space="preserve">The </w:t>
      </w:r>
      <w:r w:rsidR="00F42771" w:rsidRPr="006370A9">
        <w:t xml:space="preserve">majority </w:t>
      </w:r>
      <w:r w:rsidR="0057218E" w:rsidRPr="006370A9">
        <w:t xml:space="preserve">in </w:t>
      </w:r>
      <w:r w:rsidR="0057218E" w:rsidRPr="006370A9">
        <w:rPr>
          <w:i/>
          <w:iCs/>
        </w:rPr>
        <w:t>Ward</w:t>
      </w:r>
      <w:r w:rsidR="00367919" w:rsidRPr="006370A9">
        <w:t>, in the context of considering procedural fairness in the conduct of proceedings before a court,</w:t>
      </w:r>
      <w:r w:rsidRPr="006370A9">
        <w:t xml:space="preserve"> </w:t>
      </w:r>
      <w:r w:rsidR="00967916" w:rsidRPr="006370A9">
        <w:t xml:space="preserve">were </w:t>
      </w:r>
      <w:r w:rsidRPr="006370A9">
        <w:t xml:space="preserve">contemplating a hypothetical law prohibiting parties from </w:t>
      </w:r>
      <w:r w:rsidR="00D17129" w:rsidRPr="006370A9">
        <w:t>being</w:t>
      </w:r>
      <w:r w:rsidRPr="006370A9">
        <w:t xml:space="preserve"> legally represented before a Ch III court. As the Minister submitted, </w:t>
      </w:r>
      <w:r w:rsidR="007C0410" w:rsidRPr="006370A9">
        <w:t xml:space="preserve">the view expressed in </w:t>
      </w:r>
      <w:r w:rsidR="007C0410" w:rsidRPr="006370A9">
        <w:rPr>
          <w:i/>
          <w:iCs/>
        </w:rPr>
        <w:t xml:space="preserve">Ward </w:t>
      </w:r>
      <w:r w:rsidR="007C0410" w:rsidRPr="006370A9">
        <w:t xml:space="preserve">was </w:t>
      </w:r>
      <w:r w:rsidR="000C61DC" w:rsidRPr="006370A9">
        <w:t xml:space="preserve">exceedingly </w:t>
      </w:r>
      <w:r w:rsidR="007C0410" w:rsidRPr="006370A9">
        <w:t xml:space="preserve">tentative </w:t>
      </w:r>
      <w:r w:rsidR="00401BB9" w:rsidRPr="006370A9">
        <w:t xml:space="preserve">and </w:t>
      </w:r>
      <w:r w:rsidRPr="006370A9">
        <w:t xml:space="preserve">might be doubted </w:t>
      </w:r>
      <w:proofErr w:type="gramStart"/>
      <w:r w:rsidRPr="006370A9">
        <w:t>in light of</w:t>
      </w:r>
      <w:proofErr w:type="gramEnd"/>
      <w:r w:rsidRPr="006370A9">
        <w:t xml:space="preserve"> </w:t>
      </w:r>
      <w:r w:rsidRPr="0083283B">
        <w:rPr>
          <w:i/>
          <w:iCs/>
        </w:rPr>
        <w:t>Dietric</w:t>
      </w:r>
      <w:r w:rsidR="00D17129" w:rsidRPr="0083283B">
        <w:rPr>
          <w:i/>
          <w:iCs/>
        </w:rPr>
        <w:t>h</w:t>
      </w:r>
      <w:r w:rsidRPr="0083283B">
        <w:rPr>
          <w:i/>
          <w:iCs/>
        </w:rPr>
        <w:t xml:space="preserve"> v The Queen</w:t>
      </w:r>
      <w:r w:rsidR="0057218E" w:rsidRPr="0083283B">
        <w:rPr>
          <w:i/>
          <w:iCs/>
        </w:rPr>
        <w:t xml:space="preserve"> </w:t>
      </w:r>
      <w:r w:rsidR="00223F36" w:rsidRPr="0083283B">
        <w:t xml:space="preserve">(1992) 177 CLR 292; </w:t>
      </w:r>
      <w:r w:rsidR="008E12B7" w:rsidRPr="0083283B">
        <w:t>[</w:t>
      </w:r>
      <w:r w:rsidR="00077B6D" w:rsidRPr="0083283B">
        <w:t>1992] HCA 57</w:t>
      </w:r>
      <w:r w:rsidR="00313643" w:rsidRPr="00313643">
        <w:t>.</w:t>
      </w:r>
    </w:p>
    <w:p w14:paraId="6DB8A34B" w14:textId="219B9981" w:rsidR="00BA4E63" w:rsidRDefault="00BA4E63" w:rsidP="00BA4E63">
      <w:pPr>
        <w:pStyle w:val="ParaNumbering"/>
        <w:tabs>
          <w:tab w:val="clear" w:pos="720"/>
        </w:tabs>
      </w:pPr>
      <w:r>
        <w:lastRenderedPageBreak/>
        <w:t xml:space="preserve">For those reasons, Grounds 4 and 5 fail. Similarly, Ground 6, which is dependent on the appellant’s arguments in relation to </w:t>
      </w:r>
      <w:r w:rsidR="004B0F76">
        <w:t>G</w:t>
      </w:r>
      <w:r>
        <w:t>round 4, also fails.</w:t>
      </w:r>
    </w:p>
    <w:p w14:paraId="61D8FB03" w14:textId="07F80A3C" w:rsidR="006F416C" w:rsidRDefault="00677FF7" w:rsidP="00894C97">
      <w:pPr>
        <w:pStyle w:val="ParaNumbering"/>
        <w:tabs>
          <w:tab w:val="clear" w:pos="720"/>
        </w:tabs>
      </w:pPr>
      <w:r>
        <w:t>The appellant also challenge</w:t>
      </w:r>
      <w:r w:rsidR="007D40FB">
        <w:t>d</w:t>
      </w:r>
      <w:r>
        <w:t xml:space="preserve"> the primary judge’s finding</w:t>
      </w:r>
      <w:r w:rsidR="00C948E9">
        <w:t xml:space="preserve">, </w:t>
      </w:r>
      <w:r w:rsidR="00CD200C">
        <w:t xml:space="preserve">at </w:t>
      </w:r>
      <w:r w:rsidR="009F2D84">
        <w:t>J [58]</w:t>
      </w:r>
      <w:r w:rsidR="00C948E9">
        <w:t>,</w:t>
      </w:r>
      <w:r>
        <w:t xml:space="preserve"> </w:t>
      </w:r>
      <w:r w:rsidR="00490EC7">
        <w:t>that the appellant “is not relevantly affect</w:t>
      </w:r>
      <w:r w:rsidR="005A48AC">
        <w:t>ed</w:t>
      </w:r>
      <w:r w:rsidR="00490EC7">
        <w:t xml:space="preserve"> in his acquisition of legal services by regs 14</w:t>
      </w:r>
      <w:r w:rsidR="002F1965">
        <w:t>–15”</w:t>
      </w:r>
      <w:r>
        <w:t xml:space="preserve"> </w:t>
      </w:r>
      <w:r w:rsidR="005D1C90">
        <w:t xml:space="preserve">and </w:t>
      </w:r>
      <w:r w:rsidR="009B3E4B">
        <w:t xml:space="preserve">consequently </w:t>
      </w:r>
      <w:r w:rsidR="005D1C90">
        <w:t xml:space="preserve">his case “relies on [those </w:t>
      </w:r>
      <w:r w:rsidR="002F1965">
        <w:t>regulations</w:t>
      </w:r>
      <w:r w:rsidR="005D1C90">
        <w:t xml:space="preserve">’] </w:t>
      </w:r>
      <w:r w:rsidR="009B3E4B">
        <w:t>potential effect in other cases and on other people</w:t>
      </w:r>
      <w:r w:rsidR="007D40FB">
        <w:t>”:</w:t>
      </w:r>
      <w:r w:rsidR="00214AB1">
        <w:t xml:space="preserve"> ANOA Ground 1.</w:t>
      </w:r>
      <w:r w:rsidR="00881CDE">
        <w:t xml:space="preserve"> </w:t>
      </w:r>
      <w:r w:rsidR="007024C0">
        <w:t xml:space="preserve">As the reasoning </w:t>
      </w:r>
      <w:r w:rsidR="00325D9C">
        <w:t>at</w:t>
      </w:r>
      <w:r w:rsidR="00894C97">
        <w:t xml:space="preserve"> J [58] </w:t>
      </w:r>
      <w:r w:rsidR="007024C0">
        <w:t xml:space="preserve">shows, his Honour </w:t>
      </w:r>
      <w:r w:rsidR="0019273C">
        <w:t xml:space="preserve">was recognising that the appellant “[had] the benefit of the permit” which </w:t>
      </w:r>
      <w:r w:rsidR="003A194F">
        <w:t xml:space="preserve">allowed </w:t>
      </w:r>
      <w:r w:rsidR="007265D1">
        <w:t>dealings with assets that would otherwise be prohibited by the Regulations for the purpose of providing legal advice, legal representation and ancillary services</w:t>
      </w:r>
      <w:r w:rsidR="00BA4E63">
        <w:t>: J [40]</w:t>
      </w:r>
      <w:r w:rsidR="003A194F">
        <w:t>.</w:t>
      </w:r>
      <w:r w:rsidR="00AF7436">
        <w:t xml:space="preserve"> </w:t>
      </w:r>
      <w:r w:rsidR="003A194F">
        <w:t>The appellant therefore relied on</w:t>
      </w:r>
      <w:r w:rsidR="00AF5242">
        <w:t xml:space="preserve"> possible wider effects </w:t>
      </w:r>
      <w:r w:rsidR="00B02C97">
        <w:t>of the Regulations</w:t>
      </w:r>
      <w:r w:rsidR="0099748A">
        <w:t>,</w:t>
      </w:r>
      <w:r w:rsidR="00B02C97">
        <w:t xml:space="preserve"> and their potential effect </w:t>
      </w:r>
      <w:r w:rsidR="00AF5242">
        <w:t xml:space="preserve">in other cases </w:t>
      </w:r>
      <w:r w:rsidR="00B02C97">
        <w:t>and on other people</w:t>
      </w:r>
      <w:r w:rsidR="0099748A">
        <w:t>, who</w:t>
      </w:r>
      <w:r w:rsidR="005502D7">
        <w:t xml:space="preserve"> did not have a permit.</w:t>
      </w:r>
      <w:r w:rsidR="003A194F">
        <w:t xml:space="preserve"> </w:t>
      </w:r>
      <w:r w:rsidR="00C80319">
        <w:t>There is no error in h</w:t>
      </w:r>
      <w:r w:rsidR="003A194F">
        <w:t xml:space="preserve">is Honour’s </w:t>
      </w:r>
      <w:r w:rsidR="00C80319">
        <w:t xml:space="preserve">conclusions </w:t>
      </w:r>
      <w:r w:rsidR="003A194F">
        <w:t xml:space="preserve">at J [58] </w:t>
      </w:r>
      <w:r w:rsidR="00BA4E63">
        <w:t>and Ground 1</w:t>
      </w:r>
      <w:r w:rsidR="00325D9C">
        <w:t xml:space="preserve"> also</w:t>
      </w:r>
      <w:r w:rsidR="00BA4E63">
        <w:t xml:space="preserve"> fails</w:t>
      </w:r>
      <w:r w:rsidR="003A194F">
        <w:t>.</w:t>
      </w:r>
    </w:p>
    <w:p w14:paraId="4AD2713F" w14:textId="097D24EA" w:rsidR="00ED67DC" w:rsidRDefault="00ED67DC" w:rsidP="00087CA8">
      <w:pPr>
        <w:pStyle w:val="Heading2"/>
      </w:pPr>
      <w:bookmarkStart w:id="45" w:name="_Ref193875051"/>
      <w:r>
        <w:t>Misapprehension of the Minister’s powers</w:t>
      </w:r>
      <w:r w:rsidR="008C12F5">
        <w:t xml:space="preserve"> </w:t>
      </w:r>
      <w:r w:rsidR="00D904C9">
        <w:t>[</w:t>
      </w:r>
      <w:r w:rsidR="008C12F5">
        <w:t>ANOA Ground 7</w:t>
      </w:r>
      <w:r w:rsidR="00D904C9">
        <w:t>]</w:t>
      </w:r>
      <w:bookmarkEnd w:id="45"/>
    </w:p>
    <w:p w14:paraId="27E26AAA" w14:textId="21EEE875" w:rsidR="00A64716" w:rsidRDefault="00AF77B7" w:rsidP="00A64716">
      <w:pPr>
        <w:pStyle w:val="ParaNumbering"/>
        <w:tabs>
          <w:tab w:val="clear" w:pos="720"/>
        </w:tabs>
      </w:pPr>
      <w:bookmarkStart w:id="46" w:name="_Ref190684442"/>
      <w:r>
        <w:t>T</w:t>
      </w:r>
      <w:r w:rsidR="00D117B4">
        <w:t>he appellant</w:t>
      </w:r>
      <w:r w:rsidR="003D2DF4">
        <w:t xml:space="preserve">’s arguments </w:t>
      </w:r>
      <w:r>
        <w:t xml:space="preserve">in relation to ANOA Ground 7 </w:t>
      </w:r>
      <w:r w:rsidR="003D2DF4">
        <w:t>ha</w:t>
      </w:r>
      <w:r w:rsidR="00641103">
        <w:t>ve</w:t>
      </w:r>
      <w:r w:rsidR="003D2DF4">
        <w:t xml:space="preserve"> two limbs</w:t>
      </w:r>
      <w:r w:rsidR="00D117B4">
        <w:t xml:space="preserve">. First, the appellant </w:t>
      </w:r>
      <w:r w:rsidR="00F04C3E">
        <w:t>submitted</w:t>
      </w:r>
      <w:r w:rsidR="003D2DF4">
        <w:t xml:space="preserve"> that the Minister exercised her powers under reg 6 “on the understanding that regs</w:t>
      </w:r>
      <w:r w:rsidR="004D0B3A">
        <w:t> </w:t>
      </w:r>
      <w:r w:rsidR="003D2DF4">
        <w:t xml:space="preserve">14 and 15 operated more broadly than they in fact </w:t>
      </w:r>
      <w:r w:rsidR="00C46247">
        <w:t>d</w:t>
      </w:r>
      <w:r w:rsidR="003D2DF4">
        <w:t xml:space="preserve">o”, and consequently the Minister’s decision </w:t>
      </w:r>
      <w:r w:rsidR="007E0E98">
        <w:t>was made under a “misconception as to what the exercise of the [reg 6] power entailed</w:t>
      </w:r>
      <w:r w:rsidR="00346C21">
        <w:t>” and was therefore</w:t>
      </w:r>
      <w:r w:rsidR="00A9419E">
        <w:t xml:space="preserve"> invalid: </w:t>
      </w:r>
      <w:r w:rsidR="00A9419E">
        <w:rPr>
          <w:i/>
          <w:iCs/>
        </w:rPr>
        <w:t xml:space="preserve">Graham </w:t>
      </w:r>
      <w:r w:rsidR="00A9419E">
        <w:t>at [68]</w:t>
      </w:r>
      <w:r w:rsidR="00184CBD">
        <w:t xml:space="preserve"> (Kiefel CJ, Bell, </w:t>
      </w:r>
      <w:proofErr w:type="spellStart"/>
      <w:r w:rsidR="00184CBD">
        <w:t>Gageler</w:t>
      </w:r>
      <w:proofErr w:type="spellEnd"/>
      <w:r w:rsidR="00184CBD">
        <w:t>, Keane, Nettle and Gordon JJ)</w:t>
      </w:r>
      <w:r w:rsidR="00A9419E">
        <w:t xml:space="preserve">. </w:t>
      </w:r>
      <w:r w:rsidR="003D2DF4">
        <w:t>Second</w:t>
      </w:r>
      <w:r w:rsidR="00AF7436">
        <w:t>ly</w:t>
      </w:r>
      <w:r w:rsidR="003D2DF4">
        <w:t xml:space="preserve">, the appellant </w:t>
      </w:r>
      <w:r w:rsidR="00EE4D08">
        <w:t xml:space="preserve">submitted that the primary judge erred in finding that the Minister had not misunderstood her powers when purporting to designate and declare the appellant under reg 6 on either of the broad or narrow arguments </w:t>
      </w:r>
      <w:r w:rsidR="008A7D73">
        <w:t xml:space="preserve">that were </w:t>
      </w:r>
      <w:r w:rsidR="00EE4D08">
        <w:t>advanced</w:t>
      </w:r>
      <w:r w:rsidR="004B4762">
        <w:t>.</w:t>
      </w:r>
      <w:bookmarkEnd w:id="46"/>
    </w:p>
    <w:p w14:paraId="4358C253" w14:textId="5751F142" w:rsidR="00F04C3E" w:rsidRDefault="00F04C3E" w:rsidP="00087CA8">
      <w:pPr>
        <w:pStyle w:val="Heading3"/>
      </w:pPr>
      <w:bookmarkStart w:id="47" w:name="_Ref193875052"/>
      <w:r>
        <w:t xml:space="preserve">First limb </w:t>
      </w:r>
      <w:r w:rsidR="009745E5">
        <w:t>–</w:t>
      </w:r>
      <w:r>
        <w:t xml:space="preserve"> Minister</w:t>
      </w:r>
      <w:r w:rsidR="009745E5">
        <w:t xml:space="preserve">’s </w:t>
      </w:r>
      <w:r w:rsidR="00325D9C">
        <w:t xml:space="preserve">alleged </w:t>
      </w:r>
      <w:r w:rsidR="009745E5">
        <w:t xml:space="preserve">misunderstanding of </w:t>
      </w:r>
      <w:r w:rsidR="00AA4BBA">
        <w:t>her powers</w:t>
      </w:r>
      <w:bookmarkEnd w:id="47"/>
    </w:p>
    <w:p w14:paraId="558DFAC1" w14:textId="0E9F8062" w:rsidR="00BC3D73" w:rsidRDefault="00290CE7" w:rsidP="00A857F0">
      <w:pPr>
        <w:pStyle w:val="ParaNumbering"/>
        <w:tabs>
          <w:tab w:val="clear" w:pos="720"/>
        </w:tabs>
      </w:pPr>
      <w:r>
        <w:t xml:space="preserve">The </w:t>
      </w:r>
      <w:r w:rsidR="001128AF">
        <w:t>first limb regarding the Minister’s alleged misunderstanding of her powers was not raised before the primary judge</w:t>
      </w:r>
      <w:r w:rsidR="00F22D9D">
        <w:t xml:space="preserve">, although </w:t>
      </w:r>
      <w:r w:rsidR="00E0382A">
        <w:t xml:space="preserve">the Minister did not take </w:t>
      </w:r>
      <w:r w:rsidR="00031C4A">
        <w:t>th</w:t>
      </w:r>
      <w:r w:rsidR="005B4937">
        <w:t>is</w:t>
      </w:r>
      <w:r w:rsidR="00E0382A">
        <w:t xml:space="preserve"> </w:t>
      </w:r>
      <w:r w:rsidR="00F22D9D">
        <w:t>point</w:t>
      </w:r>
      <w:r w:rsidR="00876366">
        <w:t xml:space="preserve"> in the appeal</w:t>
      </w:r>
      <w:r w:rsidR="00E74C7B">
        <w:t>. The</w:t>
      </w:r>
      <w:r w:rsidR="00F22D9D">
        <w:t xml:space="preserve"> </w:t>
      </w:r>
      <w:r>
        <w:t>appellant submitted that the Minister exercised her powers under reg 6 “on the understanding that regs 14 and 15 operated more broadly than they in fact do”</w:t>
      </w:r>
      <w:r w:rsidR="00E02B2C">
        <w:t xml:space="preserve"> and could not be read down in the way found by the primary judge</w:t>
      </w:r>
      <w:r w:rsidR="00194678">
        <w:t xml:space="preserve">. </w:t>
      </w:r>
      <w:r w:rsidR="00A60CF7">
        <w:t xml:space="preserve">In oral submissions before us, the appellant submitted that the “natural consequence” of the Minister (mis)understanding that the provisions mean what they say was </w:t>
      </w:r>
      <w:r w:rsidR="00DF11E4">
        <w:t>that she</w:t>
      </w:r>
      <w:r w:rsidR="00A60CF7">
        <w:t xml:space="preserve"> likely thought her decision was immune from judicial review. </w:t>
      </w:r>
      <w:r w:rsidR="00D7797A">
        <w:t>The appellant submitted that</w:t>
      </w:r>
      <w:r w:rsidR="00C975AD">
        <w:t xml:space="preserve"> </w:t>
      </w:r>
      <w:r w:rsidR="00E769CB">
        <w:t xml:space="preserve">his Honour should have </w:t>
      </w:r>
      <w:r w:rsidR="006B5CCE">
        <w:t xml:space="preserve">found </w:t>
      </w:r>
      <w:r w:rsidR="007B7E26">
        <w:t>that</w:t>
      </w:r>
      <w:r w:rsidR="00C975AD">
        <w:t xml:space="preserve"> the Minister exercised her powers under reg 6 on </w:t>
      </w:r>
      <w:r w:rsidR="00E10DEF">
        <w:t>that</w:t>
      </w:r>
      <w:r w:rsidR="00C975AD">
        <w:t xml:space="preserve"> </w:t>
      </w:r>
      <w:r w:rsidR="00E10DEF">
        <w:t>mis</w:t>
      </w:r>
      <w:r w:rsidR="00C975AD">
        <w:t>understanding</w:t>
      </w:r>
      <w:r w:rsidR="0058287B">
        <w:t xml:space="preserve">, </w:t>
      </w:r>
      <w:r w:rsidR="00B25C07">
        <w:t xml:space="preserve">with the consequence that </w:t>
      </w:r>
      <w:r w:rsidR="006D65BC">
        <w:t xml:space="preserve">the </w:t>
      </w:r>
      <w:r w:rsidR="00D7797A">
        <w:t xml:space="preserve">Minister’s decision was made under a “misconception as to what the exercise of the [reg 6] power entailed”, </w:t>
      </w:r>
      <w:r w:rsidR="00194678">
        <w:t>and</w:t>
      </w:r>
      <w:r w:rsidR="00D7797A">
        <w:t xml:space="preserve"> the </w:t>
      </w:r>
      <w:r w:rsidR="00194678">
        <w:lastRenderedPageBreak/>
        <w:t xml:space="preserve">Minister’s </w:t>
      </w:r>
      <w:r w:rsidR="00D7797A">
        <w:t xml:space="preserve">decision </w:t>
      </w:r>
      <w:r w:rsidR="00194678">
        <w:t>was</w:t>
      </w:r>
      <w:r w:rsidR="00D7797A">
        <w:t xml:space="preserve"> </w:t>
      </w:r>
      <w:r w:rsidR="00B25C07">
        <w:t xml:space="preserve">therefore </w:t>
      </w:r>
      <w:r w:rsidR="00D7797A">
        <w:t>invalid</w:t>
      </w:r>
      <w:r w:rsidR="003F514B">
        <w:t>, relying on</w:t>
      </w:r>
      <w:r w:rsidR="00D7797A">
        <w:t xml:space="preserve"> </w:t>
      </w:r>
      <w:r w:rsidR="00D7797A">
        <w:rPr>
          <w:i/>
          <w:iCs/>
        </w:rPr>
        <w:t xml:space="preserve">Graham </w:t>
      </w:r>
      <w:r w:rsidR="00D7797A">
        <w:t>at [68]</w:t>
      </w:r>
      <w:r w:rsidR="00AF7436">
        <w:t>–</w:t>
      </w:r>
      <w:r w:rsidR="006D65BC">
        <w:t>[69]</w:t>
      </w:r>
      <w:r w:rsidR="003D7372">
        <w:t xml:space="preserve"> (Kiefel CJ, Bell, </w:t>
      </w:r>
      <w:proofErr w:type="spellStart"/>
      <w:r w:rsidR="003D7372">
        <w:t>Gageler</w:t>
      </w:r>
      <w:proofErr w:type="spellEnd"/>
      <w:r w:rsidR="003D7372">
        <w:t>, Keane, Nettle and Gordon JJ)</w:t>
      </w:r>
      <w:r w:rsidR="00D7797A">
        <w:t>.</w:t>
      </w:r>
    </w:p>
    <w:p w14:paraId="5350F309" w14:textId="39252D66" w:rsidR="00C553B4" w:rsidRDefault="00BC3D73" w:rsidP="00BC3D73">
      <w:pPr>
        <w:pStyle w:val="ParaNumbering"/>
        <w:rPr>
          <w:lang w:eastAsia="en-AU"/>
        </w:rPr>
      </w:pPr>
      <w:r>
        <w:t xml:space="preserve">In </w:t>
      </w:r>
      <w:r>
        <w:rPr>
          <w:i/>
          <w:iCs/>
        </w:rPr>
        <w:t xml:space="preserve">Graham, </w:t>
      </w:r>
      <w:r>
        <w:t xml:space="preserve">the plaintiff had argued that </w:t>
      </w:r>
      <w:r w:rsidR="0058287B">
        <w:t>s</w:t>
      </w:r>
      <w:r w:rsidR="002E7A3A">
        <w:t> 503</w:t>
      </w:r>
      <w:proofErr w:type="gramStart"/>
      <w:r w:rsidR="002E7A3A">
        <w:t>A(</w:t>
      </w:r>
      <w:proofErr w:type="gramEnd"/>
      <w:r w:rsidR="002E7A3A">
        <w:t xml:space="preserve">2) </w:t>
      </w:r>
      <w:r w:rsidR="008D3294">
        <w:t xml:space="preserve">of the </w:t>
      </w:r>
      <w:r w:rsidR="008D3294" w:rsidRPr="002E7A3A">
        <w:t>Migration Act</w:t>
      </w:r>
      <w:r w:rsidR="008D3294">
        <w:rPr>
          <w:i/>
          <w:iCs/>
        </w:rPr>
        <w:t xml:space="preserve"> </w:t>
      </w:r>
      <w:r>
        <w:t>was invalid under Ch</w:t>
      </w:r>
      <w:r w:rsidR="002E7A3A">
        <w:t> </w:t>
      </w:r>
      <w:r>
        <w:t xml:space="preserve">III </w:t>
      </w:r>
      <w:r w:rsidR="008D3294">
        <w:t>on</w:t>
      </w:r>
      <w:r>
        <w:t xml:space="preserve"> the basis that it required </w:t>
      </w:r>
      <w:r w:rsidR="00325D9C">
        <w:t>a federal</w:t>
      </w:r>
      <w:r w:rsidRPr="00F94A46">
        <w:t xml:space="preserve"> court</w:t>
      </w:r>
      <w:r>
        <w:t xml:space="preserve"> to exercise judicial power in a manner which was inconsistent with the essential character of a court or with the nature of judicial power</w:t>
      </w:r>
      <w:r w:rsidR="00BA65F4">
        <w:t>. T</w:t>
      </w:r>
      <w:r>
        <w:t>he majority rejected that submission, holding that s</w:t>
      </w:r>
      <w:r w:rsidR="00382E4B">
        <w:t> </w:t>
      </w:r>
      <w:r>
        <w:t>503A(2) was valid, except to the extent that s</w:t>
      </w:r>
      <w:r w:rsidR="00382E4B">
        <w:t xml:space="preserve"> 503(A)(2)(c) </w:t>
      </w:r>
      <w:r>
        <w:t xml:space="preserve">operated to prevent the </w:t>
      </w:r>
      <w:r w:rsidRPr="00E13C1C">
        <w:rPr>
          <w:b/>
          <w:bCs/>
        </w:rPr>
        <w:t>Minister for Immigration</w:t>
      </w:r>
      <w:r>
        <w:t xml:space="preserve"> and Border Protection from being required to divulge or communicate information to </w:t>
      </w:r>
      <w:r w:rsidR="00F94A46">
        <w:t>the High</w:t>
      </w:r>
      <w:r>
        <w:t xml:space="preserve"> Court when exercising jurisdiction under </w:t>
      </w:r>
      <w:r w:rsidR="00FB16D4">
        <w:t xml:space="preserve">s 75(v) of the </w:t>
      </w:r>
      <w:r w:rsidR="00FB16D4" w:rsidRPr="00C20FF2">
        <w:rPr>
          <w:i/>
          <w:iCs/>
        </w:rPr>
        <w:t>Constitution</w:t>
      </w:r>
      <w:r w:rsidR="00FB16D4">
        <w:t xml:space="preserve"> </w:t>
      </w:r>
      <w:r>
        <w:t>or to the Federal Court when exercising jurisdiction under s</w:t>
      </w:r>
      <w:r w:rsidR="003727CE">
        <w:t>s</w:t>
      </w:r>
      <w:r w:rsidR="00FB16D4">
        <w:t> 476(1)(c)</w:t>
      </w:r>
      <w:r>
        <w:t> and</w:t>
      </w:r>
      <w:r w:rsidR="00572590">
        <w:t> </w:t>
      </w:r>
      <w:r>
        <w:t>(2) of the</w:t>
      </w:r>
      <w:r w:rsidR="00572590">
        <w:t xml:space="preserve"> Migration Act</w:t>
      </w:r>
      <w:r w:rsidR="00661451">
        <w:t xml:space="preserve">: </w:t>
      </w:r>
      <w:r w:rsidR="00661451">
        <w:rPr>
          <w:i/>
          <w:iCs/>
        </w:rPr>
        <w:t xml:space="preserve">Graham </w:t>
      </w:r>
      <w:r w:rsidR="00661451">
        <w:t>at</w:t>
      </w:r>
      <w:r w:rsidR="00333226">
        <w:t xml:space="preserve"> [66]</w:t>
      </w:r>
      <w:r w:rsidR="00031C4A">
        <w:t xml:space="preserve"> (Kiefel CJ, Bell, </w:t>
      </w:r>
      <w:proofErr w:type="spellStart"/>
      <w:r w:rsidR="00031C4A">
        <w:t>Gageler</w:t>
      </w:r>
      <w:proofErr w:type="spellEnd"/>
      <w:r w:rsidR="00031C4A">
        <w:t>, Keane, Nettle and Gordon JJ)</w:t>
      </w:r>
      <w:r w:rsidR="00333226">
        <w:t>.</w:t>
      </w:r>
      <w:r w:rsidR="00E62134">
        <w:t xml:space="preserve"> </w:t>
      </w:r>
      <w:r w:rsidR="00FB0AD0">
        <w:t>The</w:t>
      </w:r>
      <w:r w:rsidR="00325D9C">
        <w:t xml:space="preserve"> Minister </w:t>
      </w:r>
      <w:r w:rsidR="00E13C1C">
        <w:t>for Immigration</w:t>
      </w:r>
      <w:r w:rsidR="00FB0AD0">
        <w:t xml:space="preserve">’s decision to cancel the plaintiff’s visa was </w:t>
      </w:r>
      <w:r w:rsidR="00BC5789">
        <w:t>invalid</w:t>
      </w:r>
      <w:r w:rsidR="00054A16">
        <w:t>, however,</w:t>
      </w:r>
      <w:r w:rsidR="00BC5789">
        <w:t xml:space="preserve"> because </w:t>
      </w:r>
      <w:r w:rsidR="00EA360B">
        <w:t>they</w:t>
      </w:r>
      <w:r w:rsidR="00E13C1C">
        <w:t xml:space="preserve"> </w:t>
      </w:r>
      <w:r w:rsidR="005A01AA">
        <w:t xml:space="preserve">had acted on the erroneous understanding that s 503A of the Migration Act was valid in its entirety and operated to prevent </w:t>
      </w:r>
      <w:r w:rsidR="00C918FB">
        <w:t>them</w:t>
      </w:r>
      <w:r w:rsidR="005A01AA">
        <w:t xml:space="preserve"> </w:t>
      </w:r>
      <w:r w:rsidR="00E13C1C">
        <w:t>from being required to divulge or communicate information including to a court engaged in judicial review of the decision</w:t>
      </w:r>
      <w:r w:rsidR="00C553B4">
        <w:t xml:space="preserve">: </w:t>
      </w:r>
      <w:r w:rsidR="00C553B4">
        <w:rPr>
          <w:i/>
          <w:iCs/>
        </w:rPr>
        <w:t xml:space="preserve">Graham </w:t>
      </w:r>
      <w:r w:rsidR="00C553B4">
        <w:t>at [68]</w:t>
      </w:r>
      <w:r w:rsidR="00AF7436">
        <w:t>–</w:t>
      </w:r>
      <w:r w:rsidR="00C553B4">
        <w:t>[69].</w:t>
      </w:r>
    </w:p>
    <w:p w14:paraId="38919864" w14:textId="6F2E5A4D" w:rsidR="009745E5" w:rsidRDefault="003F514B" w:rsidP="009745E5">
      <w:pPr>
        <w:pStyle w:val="ParaNumbering"/>
        <w:tabs>
          <w:tab w:val="clear" w:pos="720"/>
        </w:tabs>
      </w:pPr>
      <w:r>
        <w:t>T</w:t>
      </w:r>
      <w:r w:rsidR="00643E10">
        <w:t>he</w:t>
      </w:r>
      <w:r w:rsidR="00041641">
        <w:t xml:space="preserve"> appellant</w:t>
      </w:r>
      <w:r w:rsidR="00643E10">
        <w:t xml:space="preserve"> </w:t>
      </w:r>
      <w:r w:rsidR="003C4086">
        <w:t xml:space="preserve">submitted that the </w:t>
      </w:r>
      <w:r w:rsidR="00715718">
        <w:t>fact that the Minister made the impugned decision under a misapprehension was to be inferred from three circumstances.</w:t>
      </w:r>
      <w:r w:rsidR="007F5F72">
        <w:t xml:space="preserve"> Those arguments fail for the following reasons.</w:t>
      </w:r>
    </w:p>
    <w:p w14:paraId="2C8FDC22" w14:textId="20FDEC44" w:rsidR="002E133E" w:rsidRDefault="00715718" w:rsidP="009745E5">
      <w:pPr>
        <w:pStyle w:val="ParaNumbering"/>
        <w:tabs>
          <w:tab w:val="clear" w:pos="720"/>
        </w:tabs>
      </w:pPr>
      <w:r>
        <w:t xml:space="preserve">First, </w:t>
      </w:r>
      <w:r w:rsidR="007C331F">
        <w:t xml:space="preserve">the </w:t>
      </w:r>
      <w:r w:rsidR="00E43B4C">
        <w:t xml:space="preserve">appellant pointed to the </w:t>
      </w:r>
      <w:r w:rsidR="003917D4">
        <w:t>extrinsic materials to the impugned decision</w:t>
      </w:r>
      <w:r w:rsidR="00E43B4C">
        <w:t xml:space="preserve"> which, </w:t>
      </w:r>
      <w:r w:rsidR="003917D4">
        <w:t>consistently with the Act, repeatedly described the effect of the impugned decision as “proscription”</w:t>
      </w:r>
      <w:r w:rsidR="00720AB7">
        <w:t>,</w:t>
      </w:r>
      <w:r w:rsidR="00044C54">
        <w:t xml:space="preserve"> </w:t>
      </w:r>
      <w:r w:rsidR="00221917">
        <w:t xml:space="preserve">which </w:t>
      </w:r>
      <w:r w:rsidR="00CA5408">
        <w:t xml:space="preserve">is </w:t>
      </w:r>
      <w:r w:rsidR="00044C54">
        <w:t xml:space="preserve">a term </w:t>
      </w:r>
      <w:r w:rsidR="00B231BF">
        <w:t>used in s 10(1)(a) of the Act</w:t>
      </w:r>
      <w:r w:rsidR="0030233C">
        <w:t xml:space="preserve">. The term was also </w:t>
      </w:r>
      <w:r w:rsidR="00E43B4C">
        <w:t xml:space="preserve">used </w:t>
      </w:r>
      <w:r w:rsidR="00221917">
        <w:t>by the primary judge</w:t>
      </w:r>
      <w:r w:rsidR="0030233C">
        <w:t>,</w:t>
      </w:r>
      <w:r w:rsidR="00E43B4C">
        <w:t xml:space="preserve"> at J [115]</w:t>
      </w:r>
      <w:r w:rsidR="00221917">
        <w:t xml:space="preserve">, </w:t>
      </w:r>
      <w:r w:rsidR="00431DCA">
        <w:t xml:space="preserve">referring to </w:t>
      </w:r>
      <w:r w:rsidR="00E43B4C">
        <w:t>the</w:t>
      </w:r>
      <w:r w:rsidR="00431DCA">
        <w:t xml:space="preserve"> ordinary meaning</w:t>
      </w:r>
      <w:r w:rsidR="00E43B4C">
        <w:t xml:space="preserve"> of “proscription”</w:t>
      </w:r>
      <w:r w:rsidR="00431DCA">
        <w:t>,</w:t>
      </w:r>
      <w:r w:rsidR="00CA5408">
        <w:t xml:space="preserve"> being</w:t>
      </w:r>
      <w:r w:rsidR="00431DCA">
        <w:t xml:space="preserve"> “to put outside the protection of the law”</w:t>
      </w:r>
      <w:r w:rsidR="001C2F19">
        <w:t>.</w:t>
      </w:r>
    </w:p>
    <w:p w14:paraId="6EF7FEDB" w14:textId="251F658E" w:rsidR="00715718" w:rsidRDefault="0024601C" w:rsidP="009745E5">
      <w:pPr>
        <w:pStyle w:val="ParaNumbering"/>
        <w:tabs>
          <w:tab w:val="clear" w:pos="720"/>
        </w:tabs>
      </w:pPr>
      <w:r>
        <w:t>As t</w:t>
      </w:r>
      <w:r w:rsidR="00B7253D">
        <w:t>he Minister submitted</w:t>
      </w:r>
      <w:r w:rsidR="00264E72">
        <w:t xml:space="preserve">, </w:t>
      </w:r>
      <w:r w:rsidR="00B7253D">
        <w:t xml:space="preserve">it is implausible </w:t>
      </w:r>
      <w:r>
        <w:t>to suggest</w:t>
      </w:r>
      <w:r w:rsidR="00B7253D">
        <w:t xml:space="preserve">, </w:t>
      </w:r>
      <w:proofErr w:type="gramStart"/>
      <w:r w:rsidR="00B7253D">
        <w:t>on the basis of</w:t>
      </w:r>
      <w:proofErr w:type="gramEnd"/>
      <w:r w:rsidR="00B7253D">
        <w:t xml:space="preserve"> a non-technical</w:t>
      </w:r>
      <w:r w:rsidR="002E133E">
        <w:t>,</w:t>
      </w:r>
      <w:r w:rsidR="00B7253D">
        <w:t xml:space="preserve"> dictionary definition of the term “proscribe”, </w:t>
      </w:r>
      <w:r w:rsidR="00264E72">
        <w:t xml:space="preserve">that </w:t>
      </w:r>
      <w:r w:rsidR="00B7253D">
        <w:t xml:space="preserve">the Minister would have formed the view that the effect of designation was </w:t>
      </w:r>
      <w:r w:rsidR="00442022">
        <w:t xml:space="preserve">that the appellant would not be able to challenge the designation, effectively rendering </w:t>
      </w:r>
      <w:r w:rsidR="00B7253D">
        <w:t xml:space="preserve">the decision immune from </w:t>
      </w:r>
      <w:r w:rsidR="004D3FE7">
        <w:t>the judicial review</w:t>
      </w:r>
      <w:r w:rsidR="00B7253D">
        <w:t xml:space="preserve">. </w:t>
      </w:r>
      <w:r w:rsidR="0099207D" w:rsidRPr="007454DA">
        <w:t xml:space="preserve">Furthermore, the extrinsic materials show that the Minister was told that judicial review of her decision to impose the designation </w:t>
      </w:r>
      <w:r w:rsidR="00651A30" w:rsidRPr="007454DA">
        <w:t xml:space="preserve">and declare the appellant </w:t>
      </w:r>
      <w:r w:rsidR="0099207D" w:rsidRPr="007454DA">
        <w:t>would be available</w:t>
      </w:r>
      <w:r w:rsidR="00651A30" w:rsidRPr="007454DA">
        <w:t xml:space="preserve">: </w:t>
      </w:r>
      <w:r w:rsidR="00F4186D" w:rsidRPr="007454DA">
        <w:t xml:space="preserve">Statement of Compatibility, </w:t>
      </w:r>
      <w:r w:rsidR="00651A30" w:rsidRPr="007454DA">
        <w:t xml:space="preserve">Appeal Book, </w:t>
      </w:r>
      <w:r w:rsidR="0099207D" w:rsidRPr="007454DA">
        <w:t>Pt C</w:t>
      </w:r>
      <w:r w:rsidR="00F4186D" w:rsidRPr="007454DA">
        <w:t>,</w:t>
      </w:r>
      <w:r w:rsidR="0099207D" w:rsidRPr="007454DA">
        <w:t xml:space="preserve"> p</w:t>
      </w:r>
      <w:r w:rsidR="00847560">
        <w:t>p</w:t>
      </w:r>
      <w:r w:rsidR="00F4186D" w:rsidRPr="007454DA">
        <w:t xml:space="preserve"> </w:t>
      </w:r>
      <w:r w:rsidR="0099207D" w:rsidRPr="007454DA">
        <w:t>32, 34 and 36</w:t>
      </w:r>
      <w:r w:rsidR="00F4186D" w:rsidRPr="007454DA">
        <w:t>.</w:t>
      </w:r>
    </w:p>
    <w:p w14:paraId="7D7A1AF4" w14:textId="485DBC94" w:rsidR="003917D4" w:rsidRDefault="003917D4" w:rsidP="009745E5">
      <w:pPr>
        <w:pStyle w:val="ParaNumbering"/>
        <w:tabs>
          <w:tab w:val="clear" w:pos="720"/>
        </w:tabs>
      </w:pPr>
      <w:r>
        <w:lastRenderedPageBreak/>
        <w:t>Second</w:t>
      </w:r>
      <w:r w:rsidR="00847560">
        <w:t>ly</w:t>
      </w:r>
      <w:r>
        <w:t xml:space="preserve">, </w:t>
      </w:r>
      <w:r w:rsidR="00C21323">
        <w:t xml:space="preserve">the appellant submitted that </w:t>
      </w:r>
      <w:r>
        <w:t>the extrinsic material</w:t>
      </w:r>
      <w:r w:rsidR="00E1782F">
        <w:t>s</w:t>
      </w:r>
      <w:r>
        <w:t xml:space="preserve"> explain the effects of the impugned decision by reference to regs 14 and 15</w:t>
      </w:r>
      <w:r w:rsidR="00287CC7">
        <w:t xml:space="preserve">, </w:t>
      </w:r>
      <w:r>
        <w:t xml:space="preserve">with no mention of the kind of exceptions </w:t>
      </w:r>
      <w:r w:rsidR="002F58E7">
        <w:t>discussed</w:t>
      </w:r>
      <w:r>
        <w:t xml:space="preserve"> </w:t>
      </w:r>
      <w:r w:rsidR="00C114A9">
        <w:t>in</w:t>
      </w:r>
      <w:r>
        <w:t xml:space="preserve"> the primary judge</w:t>
      </w:r>
      <w:r w:rsidR="00EC46B8">
        <w:t>’s reading down of regs 14 and 15</w:t>
      </w:r>
      <w:r w:rsidR="0051622F">
        <w:t>, from which it may be inferred that the Minister made the impugned decision under a misapprehension</w:t>
      </w:r>
      <w:r w:rsidR="008A4214">
        <w:t xml:space="preserve"> of her powers</w:t>
      </w:r>
      <w:r>
        <w:t>.</w:t>
      </w:r>
      <w:r w:rsidR="00606910">
        <w:t xml:space="preserve"> </w:t>
      </w:r>
      <w:r w:rsidR="00D10967">
        <w:t>As t</w:t>
      </w:r>
      <w:r w:rsidR="00535A2E">
        <w:t>he Minister submitted</w:t>
      </w:r>
      <w:r w:rsidR="00846A32">
        <w:t>,</w:t>
      </w:r>
      <w:r w:rsidR="0024601C">
        <w:t xml:space="preserve"> it does not assist the appellant’s case</w:t>
      </w:r>
      <w:r w:rsidR="00923F9E">
        <w:t xml:space="preserve"> </w:t>
      </w:r>
      <w:r w:rsidR="00BD4AC1">
        <w:t xml:space="preserve">to </w:t>
      </w:r>
      <w:r w:rsidR="008D2CE0">
        <w:t>merely</w:t>
      </w:r>
      <w:r w:rsidR="00BD4AC1">
        <w:t xml:space="preserve"> highlight </w:t>
      </w:r>
      <w:r w:rsidR="003C6DEE">
        <w:t>the</w:t>
      </w:r>
      <w:r w:rsidR="00976EC0">
        <w:t xml:space="preserve"> </w:t>
      </w:r>
      <w:r w:rsidR="003C6DEE">
        <w:t xml:space="preserve">absence of any </w:t>
      </w:r>
      <w:r w:rsidR="00976EC0">
        <w:t>reference</w:t>
      </w:r>
      <w:r w:rsidR="00F4311F">
        <w:t>s in the extrinsic materials</w:t>
      </w:r>
      <w:r w:rsidR="00976EC0">
        <w:t xml:space="preserve"> to</w:t>
      </w:r>
      <w:r w:rsidR="003C6DEE">
        <w:t xml:space="preserve"> </w:t>
      </w:r>
      <w:r w:rsidR="001204CF">
        <w:t>the</w:t>
      </w:r>
      <w:r w:rsidR="00976EC0">
        <w:t xml:space="preserve"> exceptions</w:t>
      </w:r>
      <w:r w:rsidR="001204CF">
        <w:t xml:space="preserve"> mentioned in his Honour’s reading down of regs 14 and 15</w:t>
      </w:r>
      <w:r w:rsidR="00285A98">
        <w:t xml:space="preserve">. </w:t>
      </w:r>
      <w:r w:rsidR="008D2CE0">
        <w:t>T</w:t>
      </w:r>
      <w:r w:rsidR="003A12C3">
        <w:t>o establish his case, t</w:t>
      </w:r>
      <w:r w:rsidR="008D2CE0">
        <w:t>he</w:t>
      </w:r>
      <w:r w:rsidR="00150FF4">
        <w:t xml:space="preserve"> appellant must show </w:t>
      </w:r>
      <w:r w:rsidR="00535A2E">
        <w:t>an affirmative belief</w:t>
      </w:r>
      <w:r w:rsidR="00CD3BDB">
        <w:t xml:space="preserve"> </w:t>
      </w:r>
      <w:r w:rsidR="006C3644">
        <w:t xml:space="preserve">by the Minister </w:t>
      </w:r>
      <w:r w:rsidR="00D644D8">
        <w:t xml:space="preserve">that regs 14 and 15 mean what they say and </w:t>
      </w:r>
      <w:r w:rsidR="00D96AF5">
        <w:t>could not be read down</w:t>
      </w:r>
      <w:r w:rsidR="00535A2E">
        <w:t xml:space="preserve">. In the absence of any instruction given to the </w:t>
      </w:r>
      <w:r w:rsidR="00D92FFF">
        <w:t xml:space="preserve">former </w:t>
      </w:r>
      <w:r w:rsidR="00535A2E">
        <w:t xml:space="preserve">Minister about the matter, it </w:t>
      </w:r>
      <w:r w:rsidR="00711AB2">
        <w:t>w</w:t>
      </w:r>
      <w:r w:rsidR="00535A2E">
        <w:t>ould be surprising if she had an erroneous belief that regs 14 and 15 precluded constitutionally mandated review</w:t>
      </w:r>
      <w:r w:rsidR="002E5893">
        <w:t xml:space="preserve"> and there </w:t>
      </w:r>
      <w:r w:rsidR="000B203C">
        <w:t>is</w:t>
      </w:r>
      <w:r w:rsidR="002E5893">
        <w:t xml:space="preserve"> no basis for such an inference to be made</w:t>
      </w:r>
      <w:r w:rsidR="004B5D7A">
        <w:t xml:space="preserve"> from the extrinsic materials</w:t>
      </w:r>
      <w:r w:rsidR="000E48B5">
        <w:t>.</w:t>
      </w:r>
    </w:p>
    <w:p w14:paraId="4200D683" w14:textId="712A0B8D" w:rsidR="003917D4" w:rsidRDefault="003917D4" w:rsidP="009745E5">
      <w:pPr>
        <w:pStyle w:val="ParaNumbering"/>
        <w:tabs>
          <w:tab w:val="clear" w:pos="720"/>
        </w:tabs>
      </w:pPr>
      <w:r>
        <w:t>Third</w:t>
      </w:r>
      <w:r w:rsidR="006B68BA">
        <w:t>ly</w:t>
      </w:r>
      <w:r w:rsidR="00906CC9">
        <w:t xml:space="preserve">, the </w:t>
      </w:r>
      <w:r w:rsidR="00711AB2">
        <w:t xml:space="preserve">appellant submitted that the </w:t>
      </w:r>
      <w:r w:rsidR="00906CC9">
        <w:t xml:space="preserve">inference as to the Minister’s misapprehension could more readily be drawn in a context where the Minister failed to call the </w:t>
      </w:r>
      <w:r w:rsidR="009D36D2">
        <w:t>former</w:t>
      </w:r>
      <w:r w:rsidR="00906CC9">
        <w:t xml:space="preserve"> Minister</w:t>
      </w:r>
      <w:r w:rsidR="00C63A2D">
        <w:t>, Ms</w:t>
      </w:r>
      <w:r w:rsidR="001A448E">
        <w:t> </w:t>
      </w:r>
      <w:r w:rsidR="00C63A2D">
        <w:t>Payne,</w:t>
      </w:r>
      <w:r w:rsidR="00906CC9">
        <w:t xml:space="preserve"> as a witness, despite the appellant having put the Minister on notice that he sought a find</w:t>
      </w:r>
      <w:r w:rsidR="000E48B5">
        <w:t>i</w:t>
      </w:r>
      <w:r w:rsidR="00906CC9">
        <w:t xml:space="preserve">ng that </w:t>
      </w:r>
      <w:r w:rsidR="009D36D2">
        <w:t>she</w:t>
      </w:r>
      <w:r w:rsidR="00FB24E1">
        <w:t xml:space="preserve"> </w:t>
      </w:r>
      <w:r w:rsidR="00906CC9">
        <w:t>made the impugned decision under a misconception as to what the exercise of the power entailed.</w:t>
      </w:r>
      <w:r w:rsidR="000E48B5">
        <w:t xml:space="preserve"> This argument rests on the principle </w:t>
      </w:r>
      <w:r w:rsidR="007E0156">
        <w:t xml:space="preserve">in </w:t>
      </w:r>
      <w:r w:rsidR="007E0156" w:rsidRPr="00643E10">
        <w:rPr>
          <w:i/>
          <w:iCs/>
        </w:rPr>
        <w:t>Jones v Dunkel</w:t>
      </w:r>
      <w:r w:rsidR="007E0156">
        <w:t>.</w:t>
      </w:r>
    </w:p>
    <w:p w14:paraId="115DF426" w14:textId="1038F189" w:rsidR="00B13303" w:rsidRPr="00B13303" w:rsidRDefault="00B13303" w:rsidP="00B13303">
      <w:pPr>
        <w:pStyle w:val="ParaNumbering"/>
        <w:tabs>
          <w:tab w:val="clear" w:pos="720"/>
        </w:tabs>
      </w:pPr>
      <w:r w:rsidRPr="00B13303">
        <w:t>In</w:t>
      </w:r>
      <w:r>
        <w:t xml:space="preserve"> </w:t>
      </w:r>
      <w:hyperlink r:id="rId20" w:history="1">
        <w:r w:rsidRPr="0083283B">
          <w:rPr>
            <w:i/>
            <w:iCs/>
          </w:rPr>
          <w:t>Kuhl v Zurich Financial Services Australia Ltd</w:t>
        </w:r>
      </w:hyperlink>
      <w:r w:rsidRPr="0083283B">
        <w:t xml:space="preserve"> (2011) 243 CLR 361</w:t>
      </w:r>
      <w:r w:rsidR="0085655B" w:rsidRPr="0083283B">
        <w:t>; [2011] HCA 11</w:t>
      </w:r>
      <w:r w:rsidRPr="00B13303">
        <w:t>, the plurality explained at </w:t>
      </w:r>
      <w:hyperlink r:id="rId21" w:history="1">
        <w:r w:rsidRPr="00B13303">
          <w:t>[63]</w:t>
        </w:r>
      </w:hyperlink>
      <w:r w:rsidR="001C36CD">
        <w:t xml:space="preserve"> (</w:t>
      </w:r>
      <w:proofErr w:type="spellStart"/>
      <w:r w:rsidR="001C36CD" w:rsidRPr="001C36CD">
        <w:t>Heydon</w:t>
      </w:r>
      <w:proofErr w:type="spellEnd"/>
      <w:r w:rsidR="001C36CD" w:rsidRPr="001C36CD">
        <w:t>, Crennan and Bell JJ</w:t>
      </w:r>
      <w:r w:rsidR="001C36CD">
        <w:t>)</w:t>
      </w:r>
      <w:r w:rsidRPr="00B13303">
        <w:t>:</w:t>
      </w:r>
    </w:p>
    <w:p w14:paraId="5C6C2321" w14:textId="2DDA91CF" w:rsidR="00B13303" w:rsidRPr="00B13303" w:rsidRDefault="00B13303" w:rsidP="00087CA8">
      <w:pPr>
        <w:pStyle w:val="Quote1"/>
      </w:pPr>
      <w:r w:rsidRPr="00B13303">
        <w:t>The rule in </w:t>
      </w:r>
      <w:hyperlink r:id="rId22" w:history="1">
        <w:r w:rsidRPr="00B13303">
          <w:rPr>
            <w:i/>
            <w:iCs/>
          </w:rPr>
          <w:t>Jones v Dunkel</w:t>
        </w:r>
      </w:hyperlink>
      <w:r w:rsidRPr="00B13303">
        <w:t> is that the unexplained failure by a party to call a witness may in appropriate circumstances support an inference that the uncalled evidence would not have assisted the party's case. That is particularly so where it is the party which is the uncalled witness. The failure to call a witness may also permit the court to draw, with greater confidence, any inference unfavourable to the party that failed to call the witness, if that uncalled witness appears to be in a position to cast light on whether the inference should be drawn…The rule in </w:t>
      </w:r>
      <w:hyperlink r:id="rId23" w:history="1">
        <w:r w:rsidRPr="00B13303">
          <w:rPr>
            <w:i/>
            <w:iCs/>
          </w:rPr>
          <w:t>Jones v Dunkel</w:t>
        </w:r>
      </w:hyperlink>
      <w:r w:rsidRPr="00B13303">
        <w:rPr>
          <w:i/>
          <w:iCs/>
        </w:rPr>
        <w:t> </w:t>
      </w:r>
      <w:r w:rsidRPr="00B13303">
        <w:t>permits an inference, not that evidence not called by a party would have been adverse to the party, but that it would not have assisted the party.</w:t>
      </w:r>
    </w:p>
    <w:p w14:paraId="3B8C9436" w14:textId="176CB1F2" w:rsidR="00B13303" w:rsidRPr="00B13303" w:rsidRDefault="00B13303" w:rsidP="00087CA8">
      <w:pPr>
        <w:pStyle w:val="Quote1"/>
      </w:pPr>
      <w:r w:rsidRPr="00B13303">
        <w:t>(Citations omitted)</w:t>
      </w:r>
    </w:p>
    <w:p w14:paraId="0CC5C9F5" w14:textId="0F9A06CF" w:rsidR="00C53745" w:rsidRDefault="00C53745" w:rsidP="00132182">
      <w:pPr>
        <w:pStyle w:val="ParaNumbering"/>
      </w:pPr>
      <w:r>
        <w:t>The conditions for the operation of the rule i</w:t>
      </w:r>
      <w:r w:rsidR="009B4518">
        <w:t xml:space="preserve">n </w:t>
      </w:r>
      <w:r w:rsidR="003465CE">
        <w:rPr>
          <w:i/>
          <w:iCs/>
        </w:rPr>
        <w:t>Jones v Dunkel</w:t>
      </w:r>
      <w:r w:rsidR="003465CE">
        <w:t xml:space="preserve"> </w:t>
      </w:r>
      <w:r>
        <w:t xml:space="preserve">are as follows: </w:t>
      </w:r>
      <w:r w:rsidR="00CC199B">
        <w:t>(a)</w:t>
      </w:r>
      <w:r>
        <w:t xml:space="preserve"> the absent</w:t>
      </w:r>
      <w:r>
        <w:rPr>
          <w:lang w:eastAsia="en-AU"/>
        </w:rPr>
        <w:t xml:space="preserve"> </w:t>
      </w:r>
      <w:r>
        <w:t xml:space="preserve">witness would be expected to be called by one party rather than the other; </w:t>
      </w:r>
      <w:r w:rsidR="00CC199B">
        <w:t>(b</w:t>
      </w:r>
      <w:r>
        <w:t>) the witness’</w:t>
      </w:r>
      <w:r>
        <w:rPr>
          <w:lang w:eastAsia="en-AU"/>
        </w:rPr>
        <w:t xml:space="preserve"> </w:t>
      </w:r>
      <w:r>
        <w:t>evidence would elucidate a particular matter; and (</w:t>
      </w:r>
      <w:r w:rsidR="00CC199B">
        <w:t>c</w:t>
      </w:r>
      <w:r>
        <w:t>) the witness’ absence is unexplained</w:t>
      </w:r>
      <w:r w:rsidR="003A068F">
        <w:rPr>
          <w:lang w:eastAsia="en-AU"/>
        </w:rPr>
        <w:t xml:space="preserve">: </w:t>
      </w:r>
      <w:r w:rsidR="00132182" w:rsidRPr="0083283B">
        <w:rPr>
          <w:i/>
          <w:iCs/>
        </w:rPr>
        <w:t xml:space="preserve">Roberts-Smith v Fairfax Media Publications Pty Limited (No 41) </w:t>
      </w:r>
      <w:r w:rsidR="00132182" w:rsidRPr="0083283B">
        <w:t>[2023] FCA 555</w:t>
      </w:r>
      <w:r w:rsidR="00132182" w:rsidRPr="00132182">
        <w:rPr>
          <w:i/>
          <w:iCs/>
        </w:rPr>
        <w:t xml:space="preserve"> </w:t>
      </w:r>
      <w:r w:rsidR="00B72A95">
        <w:t>at [178]</w:t>
      </w:r>
      <w:r w:rsidR="00132182">
        <w:t xml:space="preserve"> (Besanko J).</w:t>
      </w:r>
    </w:p>
    <w:p w14:paraId="19A91325" w14:textId="34D43F21" w:rsidR="00857B06" w:rsidRDefault="003D10BA" w:rsidP="00132182">
      <w:pPr>
        <w:pStyle w:val="ParaNumbering"/>
      </w:pPr>
      <w:r>
        <w:t xml:space="preserve">There is </w:t>
      </w:r>
      <w:r w:rsidR="00F25747">
        <w:t xml:space="preserve">in our view </w:t>
      </w:r>
      <w:r>
        <w:t xml:space="preserve">no basis upon which the appellant can </w:t>
      </w:r>
      <w:r w:rsidR="00F25747">
        <w:t xml:space="preserve">properly </w:t>
      </w:r>
      <w:r>
        <w:t xml:space="preserve">invoke </w:t>
      </w:r>
      <w:r w:rsidR="00F21D5F" w:rsidRPr="00EA14A1">
        <w:rPr>
          <w:i/>
          <w:iCs/>
        </w:rPr>
        <w:t>Jones v Dunkel</w:t>
      </w:r>
      <w:r w:rsidR="00F21D5F">
        <w:t xml:space="preserve"> in aid of its contentions concerning the first limb of his case that the Minister misunderstood her </w:t>
      </w:r>
      <w:r w:rsidR="00F21D5F">
        <w:lastRenderedPageBreak/>
        <w:t>powers. There is no basis for inferring that the Minister would have been expected to call the former Minister</w:t>
      </w:r>
      <w:r w:rsidR="007B4901">
        <w:t>, Ms Payne,</w:t>
      </w:r>
      <w:r w:rsidR="00F21D5F">
        <w:t xml:space="preserve"> as a witnes</w:t>
      </w:r>
      <w:r w:rsidR="00475F15">
        <w:t xml:space="preserve">s to give evidence in respect of </w:t>
      </w:r>
      <w:r w:rsidR="00F25747">
        <w:t>the</w:t>
      </w:r>
      <w:r w:rsidR="00475F15">
        <w:t xml:space="preserve"> allegation that she had an erroneous understanding that re</w:t>
      </w:r>
      <w:r w:rsidR="00EE5B60">
        <w:t>g</w:t>
      </w:r>
      <w:r w:rsidR="00475F15">
        <w:t>s 14 and 15 precluded constitutionally mandated review</w:t>
      </w:r>
      <w:r w:rsidR="00BB2BFE">
        <w:t>. That is because</w:t>
      </w:r>
      <w:r w:rsidR="00475F15">
        <w:t xml:space="preserve"> the appellant’s concise statement did not include any such </w:t>
      </w:r>
      <w:proofErr w:type="gramStart"/>
      <w:r w:rsidR="00475F15">
        <w:t>allegation</w:t>
      </w:r>
      <w:proofErr w:type="gramEnd"/>
      <w:r w:rsidR="00037F1A">
        <w:t xml:space="preserve"> and the Minister had no other reason to expect or anticipate that it would be alleged that she acted under any such misunderstanding</w:t>
      </w:r>
      <w:r w:rsidR="00475F15">
        <w:t>. Indeed, it was not even an argument that was advanced before the primary judge</w:t>
      </w:r>
      <w:r w:rsidR="00857B06">
        <w:t>. It is insufficient for the appellant to rely on a generalised bare assertion that the Minister would be expected to call</w:t>
      </w:r>
      <w:r w:rsidR="00EE5B60">
        <w:t xml:space="preserve"> </w:t>
      </w:r>
      <w:r w:rsidR="007B4901">
        <w:t xml:space="preserve">Ms Payne </w:t>
      </w:r>
      <w:r w:rsidR="00037F1A">
        <w:t>as a witness to defend her decision</w:t>
      </w:r>
      <w:r w:rsidR="00857B06">
        <w:t>.</w:t>
      </w:r>
    </w:p>
    <w:p w14:paraId="3C644434" w14:textId="33E57018" w:rsidR="00ED6BCA" w:rsidRPr="006370A9" w:rsidRDefault="00857B06" w:rsidP="00EA14A1">
      <w:pPr>
        <w:pStyle w:val="ParaNumbering"/>
      </w:pPr>
      <w:r>
        <w:t xml:space="preserve">The appellant also raised arguments concerning </w:t>
      </w:r>
      <w:r w:rsidRPr="00EA14A1">
        <w:rPr>
          <w:i/>
          <w:iCs/>
        </w:rPr>
        <w:t>Jones v Dunkel</w:t>
      </w:r>
      <w:r>
        <w:t xml:space="preserve"> in the context of the second limb of his case that the Minister misunderstood her powers. Those arguments are consider</w:t>
      </w:r>
      <w:r w:rsidR="00EE5B60">
        <w:t>ed</w:t>
      </w:r>
      <w:r>
        <w:t xml:space="preserve"> later in that context.</w:t>
      </w:r>
    </w:p>
    <w:p w14:paraId="0D821E1D" w14:textId="11BA7232" w:rsidR="00957475" w:rsidRDefault="00957475" w:rsidP="00BF33B6">
      <w:pPr>
        <w:pStyle w:val="ParaNumbering"/>
        <w:tabs>
          <w:tab w:val="clear" w:pos="720"/>
        </w:tabs>
      </w:pPr>
      <w:r>
        <w:t xml:space="preserve">The Minister submitted that, even if the </w:t>
      </w:r>
      <w:r w:rsidR="00E50AA8">
        <w:t xml:space="preserve">Court found that </w:t>
      </w:r>
      <w:r>
        <w:t xml:space="preserve">Minister exercised her powers under reg 6 </w:t>
      </w:r>
      <w:proofErr w:type="gramStart"/>
      <w:r>
        <w:t>on the basis of</w:t>
      </w:r>
      <w:proofErr w:type="gramEnd"/>
      <w:r>
        <w:t xml:space="preserve"> a material misunderstanding of the scope of regs 14 and 15</w:t>
      </w:r>
      <w:r w:rsidR="00E50AA8">
        <w:t xml:space="preserve">, that error was not </w:t>
      </w:r>
      <w:r w:rsidR="001F789A">
        <w:t>material</w:t>
      </w:r>
      <w:r w:rsidR="000D29DA">
        <w:t xml:space="preserve"> to the ultimate decision</w:t>
      </w:r>
      <w:r w:rsidR="001F789A">
        <w:t>. Given our finding that the Minister did not err as the appellant contended, it is unnecessary to address that submission.</w:t>
      </w:r>
    </w:p>
    <w:p w14:paraId="324C883E" w14:textId="4E994E4F" w:rsidR="00AA4BBA" w:rsidRPr="00AA4BBA" w:rsidRDefault="00AA4BBA" w:rsidP="00087CA8">
      <w:pPr>
        <w:pStyle w:val="Heading3"/>
      </w:pPr>
      <w:bookmarkStart w:id="48" w:name="_Ref193875053"/>
      <w:r w:rsidRPr="00AA4BBA">
        <w:t>Second limb – Minister’s alleged misunderstanding of her powers</w:t>
      </w:r>
      <w:bookmarkEnd w:id="48"/>
    </w:p>
    <w:p w14:paraId="72BA2065" w14:textId="4BA5896C" w:rsidR="006974F8" w:rsidRDefault="00D53765" w:rsidP="00D53765">
      <w:pPr>
        <w:pStyle w:val="ParaNumbering"/>
        <w:tabs>
          <w:tab w:val="clear" w:pos="720"/>
        </w:tabs>
      </w:pPr>
      <w:r>
        <w:t xml:space="preserve">The second limb of the appellant’s argument was that the primary judge erred in finding that the Minister had not misunderstood her powers when purporting to designate and declare the appellant under reg 6 </w:t>
      </w:r>
      <w:r w:rsidR="0082153A">
        <w:t xml:space="preserve">in that she did not appreciate that she had a discretion. This was put below </w:t>
      </w:r>
      <w:proofErr w:type="gramStart"/>
      <w:r w:rsidR="0082153A">
        <w:t>on the basis of</w:t>
      </w:r>
      <w:proofErr w:type="gramEnd"/>
      <w:r w:rsidR="0082153A">
        <w:t xml:space="preserve"> </w:t>
      </w:r>
      <w:r w:rsidR="00957A9E">
        <w:t xml:space="preserve">the broader and narrower </w:t>
      </w:r>
      <w:r w:rsidR="0082153A">
        <w:t>arguments</w:t>
      </w:r>
      <w:r w:rsidR="00957A9E">
        <w:t xml:space="preserve"> mentioned in paragraph </w:t>
      </w:r>
      <w:r w:rsidR="00277B1E">
        <w:fldChar w:fldCharType="begin"/>
      </w:r>
      <w:r w:rsidR="00277B1E">
        <w:instrText xml:space="preserve"> REF _Ref191817661 \r \h </w:instrText>
      </w:r>
      <w:r w:rsidR="00277B1E">
        <w:fldChar w:fldCharType="separate"/>
      </w:r>
      <w:r w:rsidR="000B3B3D">
        <w:t>53</w:t>
      </w:r>
      <w:r w:rsidR="00277B1E">
        <w:fldChar w:fldCharType="end"/>
      </w:r>
      <w:r w:rsidR="00277B1E">
        <w:t xml:space="preserve"> above.</w:t>
      </w:r>
    </w:p>
    <w:p w14:paraId="5560136C" w14:textId="463275BC" w:rsidR="00D13830" w:rsidRPr="00AA4BBA" w:rsidRDefault="00D13830" w:rsidP="00087CA8">
      <w:pPr>
        <w:pStyle w:val="Heading4"/>
      </w:pPr>
      <w:r w:rsidRPr="00AA4BBA">
        <w:t>The broader argument</w:t>
      </w:r>
    </w:p>
    <w:p w14:paraId="69581E8F" w14:textId="7ABDA6C2" w:rsidR="005A2AF2" w:rsidRPr="00096CB6" w:rsidRDefault="00072D83" w:rsidP="005A2AF2">
      <w:pPr>
        <w:pStyle w:val="ParaNumbering"/>
        <w:tabs>
          <w:tab w:val="clear" w:pos="720"/>
        </w:tabs>
        <w:rPr>
          <w:szCs w:val="24"/>
        </w:rPr>
      </w:pPr>
      <w:r w:rsidRPr="00096CB6">
        <w:rPr>
          <w:szCs w:val="24"/>
        </w:rPr>
        <w:t>In our view, n</w:t>
      </w:r>
      <w:r w:rsidR="00805FEE" w:rsidRPr="00096CB6">
        <w:rPr>
          <w:szCs w:val="24"/>
        </w:rPr>
        <w:t xml:space="preserve">o error is disclosed in the primary judge’s reasoning to the conclusion that </w:t>
      </w:r>
      <w:r w:rsidR="000D773C" w:rsidRPr="00096CB6">
        <w:rPr>
          <w:szCs w:val="24"/>
        </w:rPr>
        <w:t xml:space="preserve">the appellant </w:t>
      </w:r>
      <w:r w:rsidR="00662BEC" w:rsidRPr="00096CB6">
        <w:rPr>
          <w:szCs w:val="24"/>
        </w:rPr>
        <w:t xml:space="preserve">had </w:t>
      </w:r>
      <w:r w:rsidR="00F433AF" w:rsidRPr="00096CB6">
        <w:rPr>
          <w:szCs w:val="24"/>
        </w:rPr>
        <w:t xml:space="preserve">failed to establish that </w:t>
      </w:r>
      <w:r w:rsidR="000D773C" w:rsidRPr="00096CB6">
        <w:rPr>
          <w:szCs w:val="24"/>
        </w:rPr>
        <w:t xml:space="preserve">the Minister made her decision </w:t>
      </w:r>
      <w:r w:rsidR="00AE5BF7">
        <w:rPr>
          <w:szCs w:val="24"/>
        </w:rPr>
        <w:t>under</w:t>
      </w:r>
      <w:r w:rsidR="00C81B25">
        <w:rPr>
          <w:szCs w:val="24"/>
        </w:rPr>
        <w:t xml:space="preserve"> the broader argument regarding the alleged </w:t>
      </w:r>
      <w:r w:rsidR="000D773C" w:rsidRPr="00096CB6">
        <w:rPr>
          <w:szCs w:val="24"/>
        </w:rPr>
        <w:t>misapprehension</w:t>
      </w:r>
      <w:r w:rsidR="00C81B25">
        <w:rPr>
          <w:szCs w:val="24"/>
        </w:rPr>
        <w:t xml:space="preserve"> of </w:t>
      </w:r>
      <w:r w:rsidR="00AE5BF7">
        <w:rPr>
          <w:szCs w:val="24"/>
        </w:rPr>
        <w:t xml:space="preserve">the </w:t>
      </w:r>
      <w:r w:rsidR="00C81B25">
        <w:rPr>
          <w:szCs w:val="24"/>
        </w:rPr>
        <w:t>powers</w:t>
      </w:r>
      <w:r w:rsidR="000D773C" w:rsidRPr="00096CB6">
        <w:rPr>
          <w:szCs w:val="24"/>
        </w:rPr>
        <w:t>: J [131]</w:t>
      </w:r>
      <w:proofErr w:type="gramStart"/>
      <w:r w:rsidR="008B55BB">
        <w:t>–</w:t>
      </w:r>
      <w:r w:rsidR="000D773C" w:rsidRPr="00096CB6">
        <w:rPr>
          <w:szCs w:val="24"/>
        </w:rPr>
        <w:t>[</w:t>
      </w:r>
      <w:proofErr w:type="gramEnd"/>
      <w:r w:rsidR="000D773C" w:rsidRPr="00096CB6">
        <w:rPr>
          <w:szCs w:val="24"/>
        </w:rPr>
        <w:t>145]</w:t>
      </w:r>
      <w:r w:rsidR="00662BEC" w:rsidRPr="00096CB6">
        <w:rPr>
          <w:szCs w:val="24"/>
        </w:rPr>
        <w:t>.</w:t>
      </w:r>
    </w:p>
    <w:p w14:paraId="79F2B1D5" w14:textId="674C3B34" w:rsidR="00F65269" w:rsidRPr="00096CB6" w:rsidRDefault="00F65269" w:rsidP="005A2AF2">
      <w:pPr>
        <w:pStyle w:val="ParaNumbering"/>
        <w:tabs>
          <w:tab w:val="clear" w:pos="720"/>
        </w:tabs>
        <w:rPr>
          <w:szCs w:val="24"/>
        </w:rPr>
      </w:pPr>
      <w:r w:rsidRPr="00096CB6">
        <w:rPr>
          <w:szCs w:val="24"/>
        </w:rPr>
        <w:t>In relation to the broader argument</w:t>
      </w:r>
      <w:r w:rsidR="00D13830" w:rsidRPr="00096CB6">
        <w:rPr>
          <w:szCs w:val="24"/>
        </w:rPr>
        <w:t>,</w:t>
      </w:r>
      <w:r w:rsidR="00864C50" w:rsidRPr="00096CB6">
        <w:rPr>
          <w:szCs w:val="24"/>
        </w:rPr>
        <w:t xml:space="preserve"> </w:t>
      </w:r>
      <w:r w:rsidR="005A2AF2" w:rsidRPr="00096CB6">
        <w:rPr>
          <w:szCs w:val="24"/>
        </w:rPr>
        <w:t>the primary judge departed from the reasoning of Kenny J in a very similar context</w:t>
      </w:r>
      <w:r w:rsidR="006223F0" w:rsidRPr="00096CB6">
        <w:rPr>
          <w:szCs w:val="24"/>
        </w:rPr>
        <w:t xml:space="preserve"> in</w:t>
      </w:r>
      <w:r w:rsidR="005A2AF2" w:rsidRPr="00096CB6">
        <w:rPr>
          <w:szCs w:val="24"/>
        </w:rPr>
        <w:t xml:space="preserve"> </w:t>
      </w:r>
      <w:r w:rsidR="00D53544" w:rsidRPr="0083283B">
        <w:rPr>
          <w:b/>
          <w:bCs/>
          <w:i/>
          <w:iCs/>
        </w:rPr>
        <w:t>Abramov</w:t>
      </w:r>
      <w:r w:rsidR="00D53544" w:rsidRPr="0083283B">
        <w:rPr>
          <w:i/>
          <w:iCs/>
        </w:rPr>
        <w:t xml:space="preserve"> v Minister for Foreign Affairs (No 2) </w:t>
      </w:r>
      <w:r w:rsidR="00D53544" w:rsidRPr="0083283B">
        <w:t>[2023] FCA 1099</w:t>
      </w:r>
      <w:r w:rsidR="00D53544">
        <w:t xml:space="preserve"> </w:t>
      </w:r>
      <w:r w:rsidR="005A2AF2" w:rsidRPr="00096CB6">
        <w:rPr>
          <w:szCs w:val="24"/>
        </w:rPr>
        <w:t>at [111]</w:t>
      </w:r>
      <w:proofErr w:type="gramStart"/>
      <w:r w:rsidR="008B55BB">
        <w:t>–</w:t>
      </w:r>
      <w:r w:rsidR="005A2AF2" w:rsidRPr="00096CB6">
        <w:rPr>
          <w:szCs w:val="24"/>
        </w:rPr>
        <w:t>[</w:t>
      </w:r>
      <w:proofErr w:type="gramEnd"/>
      <w:r w:rsidR="005A2AF2" w:rsidRPr="00096CB6">
        <w:rPr>
          <w:szCs w:val="24"/>
        </w:rPr>
        <w:t xml:space="preserve">124]. The appellant submitted that the approach of Kenny J </w:t>
      </w:r>
      <w:r w:rsidR="006223F0" w:rsidRPr="00096CB6">
        <w:rPr>
          <w:szCs w:val="24"/>
        </w:rPr>
        <w:t xml:space="preserve">in </w:t>
      </w:r>
      <w:r w:rsidR="006223F0" w:rsidRPr="00096CB6">
        <w:rPr>
          <w:i/>
          <w:iCs/>
          <w:szCs w:val="24"/>
        </w:rPr>
        <w:t xml:space="preserve">Abramov </w:t>
      </w:r>
      <w:r w:rsidR="005A2AF2" w:rsidRPr="00096CB6">
        <w:rPr>
          <w:szCs w:val="24"/>
        </w:rPr>
        <w:t>was correct</w:t>
      </w:r>
      <w:r w:rsidR="006223F0" w:rsidRPr="00096CB6">
        <w:rPr>
          <w:szCs w:val="24"/>
        </w:rPr>
        <w:t xml:space="preserve"> and that </w:t>
      </w:r>
      <w:r w:rsidR="00662BEC" w:rsidRPr="00096CB6">
        <w:rPr>
          <w:szCs w:val="24"/>
        </w:rPr>
        <w:t>his Honour</w:t>
      </w:r>
      <w:r w:rsidR="006223F0" w:rsidRPr="00096CB6">
        <w:rPr>
          <w:szCs w:val="24"/>
        </w:rPr>
        <w:t xml:space="preserve"> made four errors</w:t>
      </w:r>
      <w:r w:rsidR="005A2AF2" w:rsidRPr="00096CB6">
        <w:rPr>
          <w:szCs w:val="24"/>
        </w:rPr>
        <w:t>.</w:t>
      </w:r>
    </w:p>
    <w:p w14:paraId="026ABD4A" w14:textId="129919DF" w:rsidR="004C0755" w:rsidRPr="00096CB6" w:rsidRDefault="00153DF2" w:rsidP="00EF1EB9">
      <w:pPr>
        <w:pStyle w:val="ParaNumbering"/>
        <w:tabs>
          <w:tab w:val="clear" w:pos="720"/>
        </w:tabs>
        <w:rPr>
          <w:szCs w:val="24"/>
        </w:rPr>
      </w:pPr>
      <w:r w:rsidRPr="00087CA8">
        <w:rPr>
          <w:szCs w:val="24"/>
        </w:rPr>
        <w:lastRenderedPageBreak/>
        <w:t>First</w:t>
      </w:r>
      <w:r w:rsidRPr="00096CB6">
        <w:rPr>
          <w:szCs w:val="24"/>
        </w:rPr>
        <w:t xml:space="preserve">, the </w:t>
      </w:r>
      <w:r w:rsidR="00DF3AEC" w:rsidRPr="00096CB6">
        <w:rPr>
          <w:szCs w:val="24"/>
        </w:rPr>
        <w:t>appellant submitted that the primary judge</w:t>
      </w:r>
      <w:r w:rsidRPr="00096CB6">
        <w:rPr>
          <w:szCs w:val="24"/>
        </w:rPr>
        <w:t xml:space="preserve"> reasoned that “[t]he only direct evidence of the </w:t>
      </w:r>
      <w:r w:rsidR="00C156A5" w:rsidRPr="00096CB6">
        <w:rPr>
          <w:szCs w:val="24"/>
        </w:rPr>
        <w:t xml:space="preserve">former </w:t>
      </w:r>
      <w:r w:rsidRPr="00096CB6">
        <w:rPr>
          <w:szCs w:val="24"/>
        </w:rPr>
        <w:t>Minister’s thought process is the Explanatory Statement”: J</w:t>
      </w:r>
      <w:r w:rsidR="002C75B1" w:rsidRPr="00096CB6">
        <w:rPr>
          <w:szCs w:val="24"/>
        </w:rPr>
        <w:t> </w:t>
      </w:r>
      <w:r w:rsidRPr="00096CB6">
        <w:rPr>
          <w:szCs w:val="24"/>
        </w:rPr>
        <w:t xml:space="preserve">[131]. </w:t>
      </w:r>
      <w:r w:rsidR="00727D24" w:rsidRPr="00096CB6">
        <w:rPr>
          <w:szCs w:val="24"/>
        </w:rPr>
        <w:t>The appellant submitted that t</w:t>
      </w:r>
      <w:r w:rsidRPr="00096CB6">
        <w:rPr>
          <w:szCs w:val="24"/>
        </w:rPr>
        <w:t xml:space="preserve">hat proposition </w:t>
      </w:r>
      <w:r w:rsidR="00727D24" w:rsidRPr="00096CB6">
        <w:rPr>
          <w:szCs w:val="24"/>
        </w:rPr>
        <w:t>was</w:t>
      </w:r>
      <w:r w:rsidRPr="00096CB6">
        <w:rPr>
          <w:szCs w:val="24"/>
        </w:rPr>
        <w:t xml:space="preserve"> unfathomable</w:t>
      </w:r>
      <w:r w:rsidR="00822545">
        <w:rPr>
          <w:szCs w:val="24"/>
        </w:rPr>
        <w:t>,</w:t>
      </w:r>
      <w:r w:rsidR="00727D24" w:rsidRPr="00096CB6">
        <w:rPr>
          <w:szCs w:val="24"/>
        </w:rPr>
        <w:t xml:space="preserve"> and t</w:t>
      </w:r>
      <w:r w:rsidRPr="00096CB6">
        <w:rPr>
          <w:szCs w:val="24"/>
        </w:rPr>
        <w:t xml:space="preserve">he primary and most direct evidence of the </w:t>
      </w:r>
      <w:r w:rsidR="00C156A5" w:rsidRPr="00096CB6">
        <w:rPr>
          <w:szCs w:val="24"/>
        </w:rPr>
        <w:t xml:space="preserve">former </w:t>
      </w:r>
      <w:r w:rsidRPr="00096CB6">
        <w:rPr>
          <w:szCs w:val="24"/>
        </w:rPr>
        <w:t>Minister’s thought process was contained in the Minister’s handwritten response to “Part A” of the “</w:t>
      </w:r>
      <w:r w:rsidRPr="00096CB6">
        <w:rPr>
          <w:b/>
          <w:bCs/>
          <w:szCs w:val="24"/>
        </w:rPr>
        <w:t>Decision Record</w:t>
      </w:r>
      <w:r w:rsidRPr="00096CB6">
        <w:rPr>
          <w:szCs w:val="24"/>
        </w:rPr>
        <w:t>”.</w:t>
      </w:r>
    </w:p>
    <w:p w14:paraId="132436EE" w14:textId="16823656" w:rsidR="00D95C02" w:rsidRDefault="009A7773" w:rsidP="00B42467">
      <w:pPr>
        <w:pStyle w:val="ParaNumbering"/>
        <w:tabs>
          <w:tab w:val="clear" w:pos="720"/>
        </w:tabs>
        <w:rPr>
          <w:szCs w:val="24"/>
        </w:rPr>
      </w:pPr>
      <w:r>
        <w:rPr>
          <w:szCs w:val="24"/>
        </w:rPr>
        <w:t xml:space="preserve">The </w:t>
      </w:r>
      <w:r w:rsidR="00A12D90">
        <w:rPr>
          <w:szCs w:val="24"/>
        </w:rPr>
        <w:t>documents that were before the Minister comprised the</w:t>
      </w:r>
      <w:r w:rsidR="000A3E93">
        <w:rPr>
          <w:szCs w:val="24"/>
        </w:rPr>
        <w:t xml:space="preserve"> </w:t>
      </w:r>
      <w:r w:rsidR="00DC3DC9">
        <w:rPr>
          <w:szCs w:val="24"/>
        </w:rPr>
        <w:t xml:space="preserve">Ministerial </w:t>
      </w:r>
      <w:r w:rsidR="000A3E93">
        <w:rPr>
          <w:szCs w:val="24"/>
        </w:rPr>
        <w:t>Submission</w:t>
      </w:r>
      <w:r w:rsidR="00A12D90">
        <w:rPr>
          <w:szCs w:val="24"/>
        </w:rPr>
        <w:t xml:space="preserve"> and the </w:t>
      </w:r>
      <w:r w:rsidR="000A3E93">
        <w:rPr>
          <w:szCs w:val="24"/>
        </w:rPr>
        <w:t>Decision Record</w:t>
      </w:r>
      <w:r w:rsidR="0087355D">
        <w:rPr>
          <w:szCs w:val="24"/>
        </w:rPr>
        <w:t xml:space="preserve">, </w:t>
      </w:r>
      <w:r w:rsidR="00A12D90">
        <w:rPr>
          <w:szCs w:val="24"/>
        </w:rPr>
        <w:t xml:space="preserve">which were part of the same document, the </w:t>
      </w:r>
      <w:r w:rsidR="0087355D">
        <w:rPr>
          <w:szCs w:val="24"/>
        </w:rPr>
        <w:t xml:space="preserve">Explanatory Statement and </w:t>
      </w:r>
      <w:r w:rsidR="00A12D90">
        <w:rPr>
          <w:szCs w:val="24"/>
        </w:rPr>
        <w:t xml:space="preserve">the </w:t>
      </w:r>
      <w:r w:rsidR="0087355D">
        <w:rPr>
          <w:szCs w:val="24"/>
        </w:rPr>
        <w:t xml:space="preserve">Statement of </w:t>
      </w:r>
      <w:r w:rsidR="00A12D90">
        <w:rPr>
          <w:szCs w:val="24"/>
        </w:rPr>
        <w:t>Compatibility. It</w:t>
      </w:r>
      <w:r w:rsidR="002454C7">
        <w:rPr>
          <w:szCs w:val="24"/>
        </w:rPr>
        <w:t xml:space="preserve"> is artificial to treat </w:t>
      </w:r>
      <w:r w:rsidR="00A12D90">
        <w:rPr>
          <w:szCs w:val="24"/>
        </w:rPr>
        <w:t>the Decision Record</w:t>
      </w:r>
      <w:r w:rsidR="002454C7">
        <w:rPr>
          <w:szCs w:val="24"/>
        </w:rPr>
        <w:t xml:space="preserve">, as the appellant does, as </w:t>
      </w:r>
      <w:r w:rsidR="00C65A2A">
        <w:rPr>
          <w:szCs w:val="24"/>
        </w:rPr>
        <w:t xml:space="preserve">a </w:t>
      </w:r>
      <w:r w:rsidR="002454C7">
        <w:rPr>
          <w:szCs w:val="24"/>
        </w:rPr>
        <w:t>separate and distinct document. In any event, t</w:t>
      </w:r>
      <w:r w:rsidR="00B42467" w:rsidRPr="000C14E1">
        <w:rPr>
          <w:szCs w:val="24"/>
        </w:rPr>
        <w:t xml:space="preserve">he primary judge’s reasons refer to the Decision Record, at </w:t>
      </w:r>
      <w:r w:rsidR="008E07E9">
        <w:rPr>
          <w:szCs w:val="24"/>
        </w:rPr>
        <w:t xml:space="preserve">J </w:t>
      </w:r>
      <w:r w:rsidR="00B42467" w:rsidRPr="000C14E1">
        <w:rPr>
          <w:szCs w:val="24"/>
        </w:rPr>
        <w:t>[27]</w:t>
      </w:r>
      <w:proofErr w:type="gramStart"/>
      <w:r w:rsidR="00B42467">
        <w:t>–</w:t>
      </w:r>
      <w:r w:rsidR="00B42467" w:rsidRPr="000C14E1">
        <w:rPr>
          <w:szCs w:val="24"/>
        </w:rPr>
        <w:t>[</w:t>
      </w:r>
      <w:proofErr w:type="gramEnd"/>
      <w:r w:rsidR="00B42467" w:rsidRPr="000C14E1">
        <w:rPr>
          <w:szCs w:val="24"/>
        </w:rPr>
        <w:t>31], [35], [150]</w:t>
      </w:r>
      <w:r w:rsidR="00B42467">
        <w:t>–</w:t>
      </w:r>
      <w:r w:rsidR="00B42467" w:rsidRPr="000C14E1">
        <w:rPr>
          <w:szCs w:val="24"/>
        </w:rPr>
        <w:t>[151], and his Honour cannot be said to have overlooked it.</w:t>
      </w:r>
    </w:p>
    <w:p w14:paraId="7C3920A7" w14:textId="601B3C7A" w:rsidR="00B42467" w:rsidRPr="000C14E1" w:rsidRDefault="00B42467" w:rsidP="00B42467">
      <w:pPr>
        <w:pStyle w:val="ParaNumbering"/>
        <w:tabs>
          <w:tab w:val="clear" w:pos="720"/>
        </w:tabs>
        <w:rPr>
          <w:szCs w:val="24"/>
        </w:rPr>
      </w:pPr>
      <w:r w:rsidRPr="000C14E1">
        <w:rPr>
          <w:szCs w:val="24"/>
        </w:rPr>
        <w:t xml:space="preserve">The appellant relied upon the contents of the Decision Record to support an inference that the Minister understood her discretion to be limited to deciding whether she was satisfied that the appellant met the criteria for designation and declaration. As the reasons show, his Honour paid careful regard to the Explanatory Statement and Ministerial Submission </w:t>
      </w:r>
      <w:r>
        <w:rPr>
          <w:szCs w:val="24"/>
        </w:rPr>
        <w:t>which were</w:t>
      </w:r>
      <w:r w:rsidRPr="000C14E1">
        <w:rPr>
          <w:szCs w:val="24"/>
        </w:rPr>
        <w:t xml:space="preserve"> before the Minister in rejecting the broader argument, that the Minister did not realise that she had a discretion at all and merely proceeded on the basis that, if satisfied that the appellant met the criteria, she was required to designate and declare him under reg 6. On the basis of the contents of the Explanatory Statement, which said that</w:t>
      </w:r>
      <w:r>
        <w:rPr>
          <w:szCs w:val="24"/>
        </w:rPr>
        <w:t xml:space="preserve"> </w:t>
      </w:r>
      <w:r w:rsidRPr="000C14E1">
        <w:rPr>
          <w:szCs w:val="24"/>
        </w:rPr>
        <w:t xml:space="preserve">“[reg] 6 … </w:t>
      </w:r>
      <w:r w:rsidRPr="000C14E1">
        <w:rPr>
          <w:i/>
          <w:iCs/>
          <w:szCs w:val="24"/>
        </w:rPr>
        <w:t xml:space="preserve">enables </w:t>
      </w:r>
      <w:r w:rsidRPr="000C14E1">
        <w:rPr>
          <w:szCs w:val="24"/>
        </w:rPr>
        <w:t>the Minister for Foreign Affairs … to designate … and/or declare a person…”</w:t>
      </w:r>
      <w:r w:rsidR="008E07E9">
        <w:rPr>
          <w:szCs w:val="24"/>
        </w:rPr>
        <w:t xml:space="preserve"> (emphasis added)</w:t>
      </w:r>
      <w:r w:rsidRPr="000C14E1">
        <w:rPr>
          <w:szCs w:val="24"/>
        </w:rPr>
        <w:t xml:space="preserve">, his Honour held that </w:t>
      </w:r>
      <w:r>
        <w:rPr>
          <w:szCs w:val="24"/>
        </w:rPr>
        <w:t>this</w:t>
      </w:r>
      <w:r w:rsidRPr="000C14E1">
        <w:rPr>
          <w:szCs w:val="24"/>
        </w:rPr>
        <w:t xml:space="preserve"> framing of the power that was being exercised properly reflected the discretionary element of the power: J</w:t>
      </w:r>
      <w:r>
        <w:rPr>
          <w:szCs w:val="24"/>
        </w:rPr>
        <w:t> </w:t>
      </w:r>
      <w:r w:rsidRPr="000C14E1">
        <w:rPr>
          <w:szCs w:val="24"/>
        </w:rPr>
        <w:t>[131]</w:t>
      </w:r>
      <w:r>
        <w:t>–</w:t>
      </w:r>
      <w:r w:rsidRPr="000C14E1">
        <w:rPr>
          <w:szCs w:val="24"/>
        </w:rPr>
        <w:t xml:space="preserve">[132]. Further, </w:t>
      </w:r>
      <w:r>
        <w:rPr>
          <w:szCs w:val="24"/>
        </w:rPr>
        <w:t xml:space="preserve">his Honour held </w:t>
      </w:r>
      <w:r w:rsidRPr="000C14E1">
        <w:rPr>
          <w:szCs w:val="24"/>
        </w:rPr>
        <w:t xml:space="preserve">that the briefings contained in the Ministerial Submission “were apt to convey to the Minister that, if satisfied that the [appellant] met the relevant criteria, she would have a choice to make”: J [140]. </w:t>
      </w:r>
      <w:r>
        <w:rPr>
          <w:szCs w:val="24"/>
        </w:rPr>
        <w:t>There was no error in his Honour’s conclusions.</w:t>
      </w:r>
    </w:p>
    <w:p w14:paraId="345F84CF" w14:textId="5BC8FADD" w:rsidR="004671F1" w:rsidRPr="00096CB6" w:rsidRDefault="004C0755" w:rsidP="00544BC6">
      <w:pPr>
        <w:pStyle w:val="ParaNumbering"/>
        <w:tabs>
          <w:tab w:val="clear" w:pos="720"/>
        </w:tabs>
        <w:rPr>
          <w:szCs w:val="24"/>
        </w:rPr>
      </w:pPr>
      <w:r w:rsidRPr="00087CA8">
        <w:rPr>
          <w:szCs w:val="24"/>
        </w:rPr>
        <w:t>Second</w:t>
      </w:r>
      <w:r w:rsidR="008B55BB" w:rsidRPr="00087CA8">
        <w:rPr>
          <w:szCs w:val="24"/>
        </w:rPr>
        <w:t>ly</w:t>
      </w:r>
      <w:r w:rsidRPr="00096CB6">
        <w:rPr>
          <w:szCs w:val="24"/>
        </w:rPr>
        <w:t xml:space="preserve">, the </w:t>
      </w:r>
      <w:r w:rsidR="000A1858" w:rsidRPr="00096CB6">
        <w:rPr>
          <w:szCs w:val="24"/>
        </w:rPr>
        <w:t xml:space="preserve">appellant submitted that the primary judge’s </w:t>
      </w:r>
      <w:r w:rsidRPr="00096CB6">
        <w:rPr>
          <w:szCs w:val="24"/>
        </w:rPr>
        <w:t>reasoning was self-contradictory. His Honour reasoned that “it is necessary to consider what impression [the Recommendation</w:t>
      </w:r>
      <w:r w:rsidRPr="00096CB6">
        <w:rPr>
          <w:b/>
          <w:bCs/>
          <w:szCs w:val="24"/>
        </w:rPr>
        <w:t xml:space="preserve"> </w:t>
      </w:r>
      <w:r w:rsidRPr="00096CB6">
        <w:rPr>
          <w:szCs w:val="24"/>
        </w:rPr>
        <w:t>on the front page of the Ministerial submission] would have conveyed to a busy decision-maker”, and that “the Minister probably did not read it with the forensic attention that counsel have brought to bear”:</w:t>
      </w:r>
      <w:r w:rsidR="00260BB6" w:rsidRPr="00096CB6">
        <w:rPr>
          <w:szCs w:val="24"/>
        </w:rPr>
        <w:t> </w:t>
      </w:r>
      <w:r w:rsidRPr="00096CB6">
        <w:rPr>
          <w:szCs w:val="24"/>
        </w:rPr>
        <w:t>J</w:t>
      </w:r>
      <w:r w:rsidR="00276368" w:rsidRPr="00096CB6">
        <w:rPr>
          <w:szCs w:val="24"/>
        </w:rPr>
        <w:t> </w:t>
      </w:r>
      <w:r w:rsidRPr="00096CB6">
        <w:rPr>
          <w:szCs w:val="24"/>
        </w:rPr>
        <w:t xml:space="preserve">[136]. </w:t>
      </w:r>
      <w:r w:rsidR="00B028D9" w:rsidRPr="00096CB6">
        <w:rPr>
          <w:szCs w:val="24"/>
        </w:rPr>
        <w:t>However,</w:t>
      </w:r>
      <w:r w:rsidRPr="00096CB6">
        <w:rPr>
          <w:szCs w:val="24"/>
        </w:rPr>
        <w:t xml:space="preserve"> in rejecting </w:t>
      </w:r>
      <w:r w:rsidR="00B028D9" w:rsidRPr="00096CB6">
        <w:rPr>
          <w:szCs w:val="24"/>
        </w:rPr>
        <w:t>the appellant’s</w:t>
      </w:r>
      <w:r w:rsidRPr="00096CB6">
        <w:rPr>
          <w:szCs w:val="24"/>
        </w:rPr>
        <w:t xml:space="preserve"> submission, </w:t>
      </w:r>
      <w:r w:rsidR="006A36F7" w:rsidRPr="00096CB6">
        <w:rPr>
          <w:szCs w:val="24"/>
        </w:rPr>
        <w:t>his Honour</w:t>
      </w:r>
      <w:r w:rsidR="00B028D9" w:rsidRPr="00096CB6">
        <w:rPr>
          <w:szCs w:val="24"/>
        </w:rPr>
        <w:t xml:space="preserve"> </w:t>
      </w:r>
      <w:r w:rsidR="00BE2937">
        <w:rPr>
          <w:szCs w:val="24"/>
        </w:rPr>
        <w:t xml:space="preserve">is said to have </w:t>
      </w:r>
      <w:r w:rsidRPr="00096CB6">
        <w:rPr>
          <w:szCs w:val="24"/>
        </w:rPr>
        <w:t xml:space="preserve">used precisely the kind of close textual parsing that, on his view, the </w:t>
      </w:r>
      <w:r w:rsidR="008F6C01" w:rsidRPr="00096CB6">
        <w:rPr>
          <w:szCs w:val="24"/>
        </w:rPr>
        <w:t xml:space="preserve">former </w:t>
      </w:r>
      <w:r w:rsidRPr="00096CB6">
        <w:rPr>
          <w:szCs w:val="24"/>
        </w:rPr>
        <w:t xml:space="preserve">Minister would have eschewed. </w:t>
      </w:r>
      <w:r w:rsidR="005B7066">
        <w:rPr>
          <w:szCs w:val="24"/>
        </w:rPr>
        <w:t xml:space="preserve">This argument is similarly rejected. </w:t>
      </w:r>
      <w:r w:rsidR="003E64C3">
        <w:rPr>
          <w:szCs w:val="24"/>
        </w:rPr>
        <w:t xml:space="preserve">His Honour paid </w:t>
      </w:r>
      <w:r w:rsidR="003E64C3">
        <w:rPr>
          <w:szCs w:val="24"/>
        </w:rPr>
        <w:lastRenderedPageBreak/>
        <w:t xml:space="preserve">appropriate and careful regard to </w:t>
      </w:r>
      <w:r w:rsidR="00386315">
        <w:rPr>
          <w:szCs w:val="24"/>
        </w:rPr>
        <w:t xml:space="preserve">the </w:t>
      </w:r>
      <w:r w:rsidR="002C51F3">
        <w:rPr>
          <w:szCs w:val="24"/>
        </w:rPr>
        <w:t xml:space="preserve">relevant </w:t>
      </w:r>
      <w:r w:rsidR="00386315">
        <w:rPr>
          <w:szCs w:val="24"/>
        </w:rPr>
        <w:t xml:space="preserve">documents </w:t>
      </w:r>
      <w:r w:rsidR="0056308A">
        <w:rPr>
          <w:szCs w:val="24"/>
        </w:rPr>
        <w:t xml:space="preserve">in determining </w:t>
      </w:r>
      <w:r w:rsidR="00386315">
        <w:rPr>
          <w:szCs w:val="24"/>
        </w:rPr>
        <w:t>whether the Minister misappre</w:t>
      </w:r>
      <w:r w:rsidR="00BC2B51">
        <w:rPr>
          <w:szCs w:val="24"/>
        </w:rPr>
        <w:t>he</w:t>
      </w:r>
      <w:r w:rsidR="00386315">
        <w:rPr>
          <w:szCs w:val="24"/>
        </w:rPr>
        <w:t>nded her powers.</w:t>
      </w:r>
    </w:p>
    <w:p w14:paraId="4F8D72BE" w14:textId="019577A1" w:rsidR="001F4779" w:rsidRPr="00096CB6" w:rsidRDefault="004C0755" w:rsidP="001F4779">
      <w:pPr>
        <w:pStyle w:val="ParaNumbering"/>
        <w:tabs>
          <w:tab w:val="clear" w:pos="720"/>
        </w:tabs>
        <w:rPr>
          <w:szCs w:val="24"/>
        </w:rPr>
      </w:pPr>
      <w:r w:rsidRPr="00087CA8">
        <w:rPr>
          <w:szCs w:val="24"/>
        </w:rPr>
        <w:t>Third</w:t>
      </w:r>
      <w:r w:rsidR="008B55BB" w:rsidRPr="00087CA8">
        <w:rPr>
          <w:szCs w:val="24"/>
        </w:rPr>
        <w:t>ly</w:t>
      </w:r>
      <w:r w:rsidRPr="00096CB6">
        <w:rPr>
          <w:szCs w:val="24"/>
        </w:rPr>
        <w:t xml:space="preserve">, the </w:t>
      </w:r>
      <w:r w:rsidR="007028CB" w:rsidRPr="00096CB6">
        <w:rPr>
          <w:szCs w:val="24"/>
        </w:rPr>
        <w:t>appellant submitted that the primary judge</w:t>
      </w:r>
      <w:r w:rsidRPr="00096CB6">
        <w:rPr>
          <w:szCs w:val="24"/>
        </w:rPr>
        <w:t xml:space="preserve"> eschewed “identifying the ‘correct’ construction of the Recommendation”: J</w:t>
      </w:r>
      <w:r w:rsidR="008215DC" w:rsidRPr="00096CB6">
        <w:rPr>
          <w:szCs w:val="24"/>
        </w:rPr>
        <w:t> </w:t>
      </w:r>
      <w:r w:rsidRPr="00096CB6">
        <w:rPr>
          <w:szCs w:val="24"/>
        </w:rPr>
        <w:t>[136]</w:t>
      </w:r>
      <w:r w:rsidR="008624AE">
        <w:rPr>
          <w:szCs w:val="24"/>
        </w:rPr>
        <w:t>,</w:t>
      </w:r>
      <w:r w:rsidR="0033171B">
        <w:rPr>
          <w:szCs w:val="24"/>
        </w:rPr>
        <w:t xml:space="preserve"> </w:t>
      </w:r>
      <w:r w:rsidR="008624AE">
        <w:rPr>
          <w:szCs w:val="24"/>
        </w:rPr>
        <w:t>y</w:t>
      </w:r>
      <w:r w:rsidRPr="00096CB6">
        <w:rPr>
          <w:szCs w:val="24"/>
        </w:rPr>
        <w:t xml:space="preserve">et that was one of the primary tasks that </w:t>
      </w:r>
      <w:r w:rsidR="00762437" w:rsidRPr="00096CB6">
        <w:rPr>
          <w:szCs w:val="24"/>
        </w:rPr>
        <w:t xml:space="preserve">his Honour </w:t>
      </w:r>
      <w:r w:rsidRPr="00096CB6">
        <w:rPr>
          <w:szCs w:val="24"/>
        </w:rPr>
        <w:t>had to perform. It was a task</w:t>
      </w:r>
      <w:r w:rsidR="00A61325">
        <w:rPr>
          <w:szCs w:val="24"/>
        </w:rPr>
        <w:t>, the appellant submitted,</w:t>
      </w:r>
      <w:r w:rsidRPr="00096CB6">
        <w:rPr>
          <w:szCs w:val="24"/>
        </w:rPr>
        <w:t xml:space="preserve"> that Kenny J rightly performed in </w:t>
      </w:r>
      <w:r w:rsidRPr="00096CB6">
        <w:rPr>
          <w:i/>
          <w:iCs/>
          <w:szCs w:val="24"/>
        </w:rPr>
        <w:t>Abramov</w:t>
      </w:r>
      <w:r w:rsidRPr="00096CB6">
        <w:rPr>
          <w:szCs w:val="24"/>
        </w:rPr>
        <w:t>, which led her Honour to the correct conclusion</w:t>
      </w:r>
      <w:r w:rsidR="0003793E" w:rsidRPr="00096CB6">
        <w:rPr>
          <w:szCs w:val="24"/>
        </w:rPr>
        <w:t>,</w:t>
      </w:r>
      <w:r w:rsidRPr="00096CB6">
        <w:rPr>
          <w:szCs w:val="24"/>
        </w:rPr>
        <w:t xml:space="preserve"> </w:t>
      </w:r>
      <w:r w:rsidR="0003793E" w:rsidRPr="00096CB6">
        <w:rPr>
          <w:szCs w:val="24"/>
        </w:rPr>
        <w:t xml:space="preserve">at </w:t>
      </w:r>
      <w:r w:rsidR="0003793E" w:rsidRPr="00096CB6">
        <w:rPr>
          <w:i/>
          <w:iCs/>
          <w:szCs w:val="24"/>
        </w:rPr>
        <w:t xml:space="preserve">Abramov </w:t>
      </w:r>
      <w:r w:rsidR="0003793E" w:rsidRPr="00096CB6">
        <w:rPr>
          <w:szCs w:val="24"/>
        </w:rPr>
        <w:t>[112]</w:t>
      </w:r>
      <w:r w:rsidR="001F4779" w:rsidRPr="00096CB6">
        <w:rPr>
          <w:szCs w:val="24"/>
        </w:rPr>
        <w:t>.</w:t>
      </w:r>
      <w:r w:rsidR="00551029">
        <w:rPr>
          <w:szCs w:val="24"/>
        </w:rPr>
        <w:t xml:space="preserve"> His Honour did not “eschew” identifying the </w:t>
      </w:r>
      <w:r w:rsidR="000768FC">
        <w:rPr>
          <w:szCs w:val="24"/>
        </w:rPr>
        <w:t>“</w:t>
      </w:r>
      <w:r w:rsidR="00551029">
        <w:rPr>
          <w:szCs w:val="24"/>
        </w:rPr>
        <w:t>correct</w:t>
      </w:r>
      <w:r w:rsidR="000768FC">
        <w:rPr>
          <w:szCs w:val="24"/>
        </w:rPr>
        <w:t>”</w:t>
      </w:r>
      <w:r w:rsidR="00551029">
        <w:rPr>
          <w:szCs w:val="24"/>
        </w:rPr>
        <w:t xml:space="preserve"> construction of the Recommendation in the Ministerial Submission, rather, he did not accept the appellant’s construction of it.</w:t>
      </w:r>
    </w:p>
    <w:p w14:paraId="1D558339" w14:textId="49652552" w:rsidR="001F4779" w:rsidRDefault="001F4779" w:rsidP="00AE0FB1">
      <w:pPr>
        <w:pStyle w:val="ParaNumbering"/>
        <w:tabs>
          <w:tab w:val="clear" w:pos="720"/>
        </w:tabs>
        <w:rPr>
          <w:szCs w:val="24"/>
        </w:rPr>
      </w:pPr>
      <w:r w:rsidRPr="00087CA8">
        <w:rPr>
          <w:szCs w:val="24"/>
        </w:rPr>
        <w:t>Fourth</w:t>
      </w:r>
      <w:r w:rsidR="008B55BB" w:rsidRPr="00087CA8">
        <w:rPr>
          <w:szCs w:val="24"/>
        </w:rPr>
        <w:t>ly</w:t>
      </w:r>
      <w:r w:rsidRPr="00096CB6">
        <w:rPr>
          <w:szCs w:val="24"/>
        </w:rPr>
        <w:t xml:space="preserve">, the </w:t>
      </w:r>
      <w:r w:rsidR="008215DC" w:rsidRPr="00096CB6">
        <w:rPr>
          <w:szCs w:val="24"/>
        </w:rPr>
        <w:t>appellant submitted that the primary judge</w:t>
      </w:r>
      <w:r w:rsidRPr="00096CB6">
        <w:rPr>
          <w:szCs w:val="24"/>
        </w:rPr>
        <w:t xml:space="preserve"> refused to bring the principle in </w:t>
      </w:r>
      <w:r w:rsidRPr="00096CB6">
        <w:rPr>
          <w:i/>
          <w:iCs/>
          <w:szCs w:val="24"/>
        </w:rPr>
        <w:t xml:space="preserve">Jones v Dunkel </w:t>
      </w:r>
      <w:r w:rsidRPr="00096CB6">
        <w:rPr>
          <w:szCs w:val="24"/>
        </w:rPr>
        <w:t>to bear upon the process of inferential reasoning that was required: J</w:t>
      </w:r>
      <w:r w:rsidR="008E2C5D" w:rsidRPr="00096CB6">
        <w:rPr>
          <w:szCs w:val="24"/>
        </w:rPr>
        <w:t> </w:t>
      </w:r>
      <w:r w:rsidRPr="00096CB6">
        <w:rPr>
          <w:szCs w:val="24"/>
        </w:rPr>
        <w:t>[129]</w:t>
      </w:r>
      <w:proofErr w:type="gramStart"/>
      <w:r w:rsidR="00AE0FB1">
        <w:rPr>
          <w:szCs w:val="24"/>
        </w:rPr>
        <w:t>–</w:t>
      </w:r>
      <w:r w:rsidRPr="00AE0FB1">
        <w:rPr>
          <w:szCs w:val="24"/>
        </w:rPr>
        <w:t>[</w:t>
      </w:r>
      <w:proofErr w:type="gramEnd"/>
      <w:r w:rsidRPr="00AE0FB1">
        <w:rPr>
          <w:szCs w:val="24"/>
        </w:rPr>
        <w:t xml:space="preserve">130]. </w:t>
      </w:r>
      <w:r w:rsidR="001B1450">
        <w:rPr>
          <w:szCs w:val="24"/>
        </w:rPr>
        <w:t xml:space="preserve">We are not persuaded that the primary judge erred in declining to draw any </w:t>
      </w:r>
      <w:r w:rsidR="001B1450" w:rsidRPr="00EA14A1">
        <w:rPr>
          <w:i/>
          <w:iCs/>
          <w:szCs w:val="24"/>
        </w:rPr>
        <w:t>Jones v Dunkel</w:t>
      </w:r>
      <w:r w:rsidR="001B1450">
        <w:rPr>
          <w:szCs w:val="24"/>
        </w:rPr>
        <w:t xml:space="preserve"> inference in respect of the second limb of his case that th</w:t>
      </w:r>
      <w:r w:rsidR="001E186E">
        <w:rPr>
          <w:szCs w:val="24"/>
        </w:rPr>
        <w:t>e</w:t>
      </w:r>
      <w:r w:rsidR="001B1450">
        <w:rPr>
          <w:szCs w:val="24"/>
        </w:rPr>
        <w:t xml:space="preserve"> Minister misunderstood her powers.</w:t>
      </w:r>
    </w:p>
    <w:p w14:paraId="2C0DE0DF" w14:textId="4C303BC8" w:rsidR="0089457A" w:rsidRDefault="00792CE1" w:rsidP="00792CE1">
      <w:pPr>
        <w:pStyle w:val="ParaNumbering"/>
        <w:rPr>
          <w:szCs w:val="24"/>
        </w:rPr>
      </w:pPr>
      <w:r w:rsidRPr="00792CE1">
        <w:rPr>
          <w:szCs w:val="24"/>
        </w:rPr>
        <w:t xml:space="preserve">In our view, a </w:t>
      </w:r>
      <w:r w:rsidRPr="00EA14A1">
        <w:rPr>
          <w:i/>
          <w:iCs/>
          <w:szCs w:val="24"/>
        </w:rPr>
        <w:t>Jones v Dunkel</w:t>
      </w:r>
      <w:r w:rsidRPr="00792CE1">
        <w:rPr>
          <w:szCs w:val="24"/>
        </w:rPr>
        <w:t xml:space="preserve"> inference was not available because it could not be said that Ms</w:t>
      </w:r>
      <w:r w:rsidR="00F57949">
        <w:rPr>
          <w:szCs w:val="24"/>
        </w:rPr>
        <w:t> </w:t>
      </w:r>
      <w:r w:rsidRPr="00792CE1">
        <w:rPr>
          <w:szCs w:val="24"/>
        </w:rPr>
        <w:t>Payne was a witness whom the Minister was expected to call</w:t>
      </w:r>
      <w:r w:rsidR="004C1532">
        <w:rPr>
          <w:szCs w:val="24"/>
        </w:rPr>
        <w:t xml:space="preserve"> to </w:t>
      </w:r>
      <w:r w:rsidR="009B07A3">
        <w:rPr>
          <w:szCs w:val="24"/>
        </w:rPr>
        <w:t xml:space="preserve">give evidence in respect of the allegation that she </w:t>
      </w:r>
      <w:r w:rsidR="001E186E">
        <w:rPr>
          <w:szCs w:val="24"/>
        </w:rPr>
        <w:t xml:space="preserve">misunderstood that she </w:t>
      </w:r>
      <w:r w:rsidR="009B07A3">
        <w:rPr>
          <w:szCs w:val="24"/>
        </w:rPr>
        <w:t>had a discretion</w:t>
      </w:r>
      <w:r w:rsidR="00AC13F1">
        <w:rPr>
          <w:szCs w:val="24"/>
        </w:rPr>
        <w:t xml:space="preserve"> in respect of the exercise of her powers</w:t>
      </w:r>
      <w:r w:rsidRPr="00792CE1">
        <w:rPr>
          <w:szCs w:val="24"/>
        </w:rPr>
        <w:t xml:space="preserve">. It would not have been </w:t>
      </w:r>
      <w:r w:rsidR="00AC13F1">
        <w:rPr>
          <w:szCs w:val="24"/>
        </w:rPr>
        <w:t xml:space="preserve">readily </w:t>
      </w:r>
      <w:r w:rsidRPr="00792CE1">
        <w:rPr>
          <w:szCs w:val="24"/>
        </w:rPr>
        <w:t xml:space="preserve">apparent from the </w:t>
      </w:r>
      <w:r w:rsidR="00AC13F1">
        <w:rPr>
          <w:szCs w:val="24"/>
        </w:rPr>
        <w:t xml:space="preserve">appellant’s </w:t>
      </w:r>
      <w:r w:rsidR="003052CD">
        <w:rPr>
          <w:szCs w:val="24"/>
        </w:rPr>
        <w:t>c</w:t>
      </w:r>
      <w:r w:rsidRPr="00792CE1">
        <w:rPr>
          <w:szCs w:val="24"/>
        </w:rPr>
        <w:t xml:space="preserve">oncise </w:t>
      </w:r>
      <w:r w:rsidR="003052CD">
        <w:rPr>
          <w:szCs w:val="24"/>
        </w:rPr>
        <w:t>s</w:t>
      </w:r>
      <w:r w:rsidRPr="00792CE1">
        <w:rPr>
          <w:szCs w:val="24"/>
        </w:rPr>
        <w:t xml:space="preserve">tatement that the appellant intended to raise </w:t>
      </w:r>
      <w:r w:rsidR="00AC13F1">
        <w:rPr>
          <w:szCs w:val="24"/>
        </w:rPr>
        <w:t xml:space="preserve">that </w:t>
      </w:r>
      <w:proofErr w:type="gramStart"/>
      <w:r w:rsidR="00AC13F1">
        <w:rPr>
          <w:szCs w:val="24"/>
        </w:rPr>
        <w:t>particular</w:t>
      </w:r>
      <w:r w:rsidRPr="00792CE1">
        <w:rPr>
          <w:szCs w:val="24"/>
        </w:rPr>
        <w:t xml:space="preserve"> argument</w:t>
      </w:r>
      <w:proofErr w:type="gramEnd"/>
      <w:r w:rsidRPr="00792CE1">
        <w:rPr>
          <w:szCs w:val="24"/>
        </w:rPr>
        <w:t>.</w:t>
      </w:r>
      <w:r w:rsidR="00AC13F1">
        <w:rPr>
          <w:szCs w:val="24"/>
        </w:rPr>
        <w:t xml:space="preserve"> </w:t>
      </w:r>
      <w:r w:rsidR="00E34824">
        <w:rPr>
          <w:szCs w:val="24"/>
        </w:rPr>
        <w:t xml:space="preserve">It is difficult to </w:t>
      </w:r>
      <w:r w:rsidR="00CD462B">
        <w:rPr>
          <w:szCs w:val="24"/>
        </w:rPr>
        <w:t xml:space="preserve">accept that the Minister would </w:t>
      </w:r>
      <w:r w:rsidR="00E34824">
        <w:rPr>
          <w:szCs w:val="24"/>
        </w:rPr>
        <w:t xml:space="preserve">be expected </w:t>
      </w:r>
      <w:r w:rsidR="00CD462B">
        <w:rPr>
          <w:szCs w:val="24"/>
        </w:rPr>
        <w:t xml:space="preserve">to </w:t>
      </w:r>
      <w:r w:rsidR="00E34824">
        <w:rPr>
          <w:szCs w:val="24"/>
        </w:rPr>
        <w:t>call Ms Payne to address an argument that had not been clearly articulated</w:t>
      </w:r>
      <w:r w:rsidR="00DD30C3">
        <w:rPr>
          <w:szCs w:val="24"/>
        </w:rPr>
        <w:t xml:space="preserve"> or particularised</w:t>
      </w:r>
      <w:r w:rsidR="00E34824">
        <w:rPr>
          <w:szCs w:val="24"/>
        </w:rPr>
        <w:t xml:space="preserve">. </w:t>
      </w:r>
      <w:r w:rsidR="00BB27FB">
        <w:rPr>
          <w:szCs w:val="24"/>
        </w:rPr>
        <w:t xml:space="preserve">It was also common ground </w:t>
      </w:r>
      <w:r w:rsidRPr="00792CE1">
        <w:rPr>
          <w:szCs w:val="24"/>
        </w:rPr>
        <w:t xml:space="preserve">that the appellant </w:t>
      </w:r>
      <w:r w:rsidR="007203AC">
        <w:rPr>
          <w:szCs w:val="24"/>
        </w:rPr>
        <w:t xml:space="preserve">first </w:t>
      </w:r>
      <w:r w:rsidRPr="00792CE1">
        <w:rPr>
          <w:szCs w:val="24"/>
        </w:rPr>
        <w:t xml:space="preserve">raised the prospect of a </w:t>
      </w:r>
      <w:r w:rsidRPr="00EA14A1">
        <w:rPr>
          <w:i/>
          <w:iCs/>
          <w:szCs w:val="24"/>
        </w:rPr>
        <w:t>Jones v Dunkel</w:t>
      </w:r>
      <w:r w:rsidRPr="00792CE1">
        <w:rPr>
          <w:szCs w:val="24"/>
        </w:rPr>
        <w:t xml:space="preserve"> inference </w:t>
      </w:r>
      <w:r w:rsidR="00BB27FB">
        <w:rPr>
          <w:szCs w:val="24"/>
        </w:rPr>
        <w:t xml:space="preserve">in correspondence which was sent only </w:t>
      </w:r>
      <w:r w:rsidRPr="00792CE1">
        <w:rPr>
          <w:szCs w:val="24"/>
        </w:rPr>
        <w:t>one week before the hearing was scheduled to commence. By that time, there had been a change of government and Ms Payne was no longer a member of Parliament.</w:t>
      </w:r>
      <w:r w:rsidR="0089457A">
        <w:rPr>
          <w:szCs w:val="24"/>
        </w:rPr>
        <w:t xml:space="preserve"> It is </w:t>
      </w:r>
      <w:r w:rsidR="00DD30C3">
        <w:rPr>
          <w:szCs w:val="24"/>
        </w:rPr>
        <w:t xml:space="preserve">hard </w:t>
      </w:r>
      <w:r w:rsidR="0089457A">
        <w:rPr>
          <w:szCs w:val="24"/>
        </w:rPr>
        <w:t xml:space="preserve">to see why the Minister would be expected to call Ms Payne given that short notice and equally difficult to see why, </w:t>
      </w:r>
      <w:r w:rsidR="00D1237D">
        <w:rPr>
          <w:szCs w:val="24"/>
        </w:rPr>
        <w:t>given that there had been a change in government and Ms Payne was no longer a member of Parliament</w:t>
      </w:r>
      <w:r w:rsidR="0089457A">
        <w:rPr>
          <w:szCs w:val="24"/>
        </w:rPr>
        <w:t xml:space="preserve">, Ms Payne could be said to be in the Minister’s </w:t>
      </w:r>
      <w:r w:rsidR="00DD30C3">
        <w:rPr>
          <w:szCs w:val="24"/>
        </w:rPr>
        <w:t>“</w:t>
      </w:r>
      <w:r w:rsidR="0089457A">
        <w:rPr>
          <w:szCs w:val="24"/>
        </w:rPr>
        <w:t>camp</w:t>
      </w:r>
      <w:r w:rsidR="00DD30C3">
        <w:rPr>
          <w:szCs w:val="24"/>
        </w:rPr>
        <w:t>”</w:t>
      </w:r>
      <w:r w:rsidR="0089457A">
        <w:rPr>
          <w:szCs w:val="24"/>
        </w:rPr>
        <w:t>. It might equally be said that it was open to the appellant to call her as a witness</w:t>
      </w:r>
      <w:r w:rsidR="00DD30C3">
        <w:rPr>
          <w:szCs w:val="24"/>
        </w:rPr>
        <w:t xml:space="preserve"> in all the circumstances</w:t>
      </w:r>
      <w:r w:rsidR="0089457A">
        <w:rPr>
          <w:szCs w:val="24"/>
        </w:rPr>
        <w:t>.</w:t>
      </w:r>
    </w:p>
    <w:p w14:paraId="22A32C1A" w14:textId="3C49E1D0" w:rsidR="00856545" w:rsidRPr="00D1237D" w:rsidRDefault="0089457A" w:rsidP="00D1237D">
      <w:pPr>
        <w:pStyle w:val="ParaNumbering"/>
        <w:rPr>
          <w:szCs w:val="24"/>
        </w:rPr>
      </w:pPr>
      <w:r>
        <w:rPr>
          <w:szCs w:val="24"/>
        </w:rPr>
        <w:t xml:space="preserve">We are also not persuaded that the primary judge erred in finding, in effect, that </w:t>
      </w:r>
      <w:r w:rsidR="00EF1C40">
        <w:rPr>
          <w:szCs w:val="24"/>
        </w:rPr>
        <w:t>t</w:t>
      </w:r>
      <w:r w:rsidR="00C52BBE">
        <w:rPr>
          <w:szCs w:val="24"/>
        </w:rPr>
        <w:t xml:space="preserve">here was no </w:t>
      </w:r>
      <w:r w:rsidR="00E842D2">
        <w:rPr>
          <w:szCs w:val="24"/>
        </w:rPr>
        <w:t xml:space="preserve">convincing basis for inferring that </w:t>
      </w:r>
      <w:r w:rsidR="00EF1C40">
        <w:rPr>
          <w:szCs w:val="24"/>
        </w:rPr>
        <w:t xml:space="preserve">Ms Payne </w:t>
      </w:r>
      <w:r w:rsidR="00E974D2">
        <w:rPr>
          <w:szCs w:val="24"/>
        </w:rPr>
        <w:t xml:space="preserve">would have been able to </w:t>
      </w:r>
      <w:r w:rsidR="00EF1C40">
        <w:rPr>
          <w:szCs w:val="24"/>
        </w:rPr>
        <w:t xml:space="preserve">give </w:t>
      </w:r>
      <w:r w:rsidR="00E974D2">
        <w:rPr>
          <w:szCs w:val="24"/>
        </w:rPr>
        <w:t xml:space="preserve">any </w:t>
      </w:r>
      <w:r w:rsidR="00EF1C40">
        <w:rPr>
          <w:szCs w:val="24"/>
        </w:rPr>
        <w:t xml:space="preserve">evidence that would elucidate the matter in issue, being whether she </w:t>
      </w:r>
      <w:r w:rsidR="00FE7720">
        <w:rPr>
          <w:szCs w:val="24"/>
        </w:rPr>
        <w:t>proceeded on the basis that she did not have a</w:t>
      </w:r>
      <w:r w:rsidR="00E974D2">
        <w:rPr>
          <w:szCs w:val="24"/>
        </w:rPr>
        <w:t>ny</w:t>
      </w:r>
      <w:r w:rsidR="00FE7720">
        <w:rPr>
          <w:szCs w:val="24"/>
        </w:rPr>
        <w:t xml:space="preserve"> discretion. It was open to the primary judge to infer that Ms Payne was unlikely to have </w:t>
      </w:r>
      <w:r w:rsidR="00E974D2">
        <w:rPr>
          <w:szCs w:val="24"/>
        </w:rPr>
        <w:t xml:space="preserve">had </w:t>
      </w:r>
      <w:r w:rsidR="00FE7720">
        <w:rPr>
          <w:szCs w:val="24"/>
        </w:rPr>
        <w:t>any independent recollection of her reasoning process in the appellant’s case: J</w:t>
      </w:r>
      <w:r w:rsidR="000768FC">
        <w:rPr>
          <w:szCs w:val="24"/>
        </w:rPr>
        <w:t> </w:t>
      </w:r>
      <w:r w:rsidR="00FE7720">
        <w:rPr>
          <w:szCs w:val="24"/>
        </w:rPr>
        <w:t>[129].</w:t>
      </w:r>
    </w:p>
    <w:p w14:paraId="5AD0D292" w14:textId="13F34F8B" w:rsidR="00BA67E2" w:rsidRDefault="000B7F38" w:rsidP="00856545">
      <w:pPr>
        <w:pStyle w:val="ParaNumbering"/>
        <w:rPr>
          <w:szCs w:val="24"/>
        </w:rPr>
      </w:pPr>
      <w:r>
        <w:rPr>
          <w:szCs w:val="24"/>
        </w:rPr>
        <w:lastRenderedPageBreak/>
        <w:t xml:space="preserve">Finally, we should note that we doubt that a </w:t>
      </w:r>
      <w:r w:rsidRPr="00EA14A1">
        <w:rPr>
          <w:i/>
          <w:iCs/>
          <w:szCs w:val="24"/>
        </w:rPr>
        <w:t>Jones v Dunkel</w:t>
      </w:r>
      <w:r>
        <w:rPr>
          <w:szCs w:val="24"/>
        </w:rPr>
        <w:t xml:space="preserve"> inference would have assisted the appellant’s case even if it was available. </w:t>
      </w:r>
      <w:r w:rsidR="00856545" w:rsidRPr="00856545">
        <w:rPr>
          <w:szCs w:val="24"/>
        </w:rPr>
        <w:t xml:space="preserve">The rule in </w:t>
      </w:r>
      <w:r w:rsidR="00856545" w:rsidRPr="00EA14A1">
        <w:rPr>
          <w:i/>
          <w:iCs/>
          <w:szCs w:val="24"/>
        </w:rPr>
        <w:t>Jones v Dunkel</w:t>
      </w:r>
      <w:r w:rsidR="00856545" w:rsidRPr="00856545">
        <w:rPr>
          <w:szCs w:val="24"/>
        </w:rPr>
        <w:t xml:space="preserve"> has its limits. One is that it cannot be used to fill evidentiary gaps or convert conjecture into inference: </w:t>
      </w:r>
      <w:r w:rsidR="00856545" w:rsidRPr="00276A43">
        <w:rPr>
          <w:b/>
          <w:bCs/>
          <w:i/>
          <w:iCs/>
          <w:szCs w:val="24"/>
        </w:rPr>
        <w:t>Chetcuti</w:t>
      </w:r>
      <w:r w:rsidR="00856545" w:rsidRPr="00EA14A1">
        <w:rPr>
          <w:i/>
          <w:iCs/>
          <w:szCs w:val="24"/>
        </w:rPr>
        <w:t xml:space="preserve"> v Minister for Immigration and Border Protection</w:t>
      </w:r>
      <w:r w:rsidR="00856545" w:rsidRPr="00856545">
        <w:rPr>
          <w:szCs w:val="24"/>
        </w:rPr>
        <w:t xml:space="preserve"> (2019) 270 FCR 335; [2019] FCAFC 112 at [91] (Murphy and </w:t>
      </w:r>
      <w:proofErr w:type="spellStart"/>
      <w:r w:rsidR="00856545" w:rsidRPr="00856545">
        <w:rPr>
          <w:szCs w:val="24"/>
        </w:rPr>
        <w:t>Rangiah</w:t>
      </w:r>
      <w:proofErr w:type="spellEnd"/>
      <w:r w:rsidR="00856545" w:rsidRPr="00856545">
        <w:rPr>
          <w:szCs w:val="24"/>
        </w:rPr>
        <w:t xml:space="preserve"> JJ). Further, the facts proved must give rise to a reasonable and definite inference, not merely to conflicting inferences of equal degree of probability so that the choice between them is a mere matter of conjecture: </w:t>
      </w:r>
      <w:r w:rsidR="00856545" w:rsidRPr="00EA14A1">
        <w:rPr>
          <w:i/>
          <w:iCs/>
          <w:szCs w:val="24"/>
        </w:rPr>
        <w:t>Chetcuti</w:t>
      </w:r>
      <w:r w:rsidR="00856545" w:rsidRPr="00856545">
        <w:rPr>
          <w:szCs w:val="24"/>
        </w:rPr>
        <w:t xml:space="preserve"> at [95].</w:t>
      </w:r>
      <w:r>
        <w:rPr>
          <w:szCs w:val="24"/>
        </w:rPr>
        <w:t xml:space="preserve"> </w:t>
      </w:r>
      <w:r w:rsidR="00E974D2">
        <w:rPr>
          <w:szCs w:val="24"/>
        </w:rPr>
        <w:t>As noted earlier, t</w:t>
      </w:r>
      <w:r w:rsidR="009A4CED">
        <w:rPr>
          <w:szCs w:val="24"/>
        </w:rPr>
        <w:t xml:space="preserve">he rule in </w:t>
      </w:r>
      <w:r w:rsidR="009A4CED" w:rsidRPr="00EA14A1">
        <w:rPr>
          <w:i/>
          <w:iCs/>
          <w:szCs w:val="24"/>
        </w:rPr>
        <w:t>Jones v Dunkel</w:t>
      </w:r>
      <w:r w:rsidR="009A4CED">
        <w:rPr>
          <w:szCs w:val="24"/>
        </w:rPr>
        <w:t xml:space="preserve"> also does not permit </w:t>
      </w:r>
      <w:r w:rsidR="00B57EF9">
        <w:rPr>
          <w:szCs w:val="24"/>
        </w:rPr>
        <w:t xml:space="preserve">the drawing of an inference that the absent witness’s evidence would have been </w:t>
      </w:r>
      <w:proofErr w:type="gramStart"/>
      <w:r w:rsidR="00B57EF9">
        <w:rPr>
          <w:szCs w:val="24"/>
        </w:rPr>
        <w:t>adverse</w:t>
      </w:r>
      <w:proofErr w:type="gramEnd"/>
      <w:r w:rsidR="00B57EF9">
        <w:rPr>
          <w:szCs w:val="24"/>
        </w:rPr>
        <w:t xml:space="preserve"> to the party who would be expected to call that witness: </w:t>
      </w:r>
      <w:r w:rsidR="00B57EF9" w:rsidRPr="00EA14A1">
        <w:rPr>
          <w:i/>
          <w:iCs/>
          <w:szCs w:val="24"/>
        </w:rPr>
        <w:t>Kuhl</w:t>
      </w:r>
      <w:r w:rsidR="00B57EF9">
        <w:rPr>
          <w:szCs w:val="24"/>
        </w:rPr>
        <w:t xml:space="preserve"> at [63]</w:t>
      </w:r>
      <w:r w:rsidR="00515270">
        <w:rPr>
          <w:szCs w:val="24"/>
        </w:rPr>
        <w:t xml:space="preserve"> </w:t>
      </w:r>
      <w:r w:rsidR="00515270">
        <w:t>(</w:t>
      </w:r>
      <w:proofErr w:type="spellStart"/>
      <w:r w:rsidR="00515270" w:rsidRPr="001C36CD">
        <w:t>Heydon</w:t>
      </w:r>
      <w:proofErr w:type="spellEnd"/>
      <w:r w:rsidR="00515270" w:rsidRPr="001C36CD">
        <w:t>, Crennan and Bell JJ</w:t>
      </w:r>
      <w:r w:rsidR="00515270">
        <w:t>)</w:t>
      </w:r>
      <w:r w:rsidR="00B57EF9">
        <w:rPr>
          <w:szCs w:val="24"/>
        </w:rPr>
        <w:t>.</w:t>
      </w:r>
    </w:p>
    <w:p w14:paraId="232F6F1C" w14:textId="1BDF6305" w:rsidR="00856545" w:rsidRPr="00AE0FB1" w:rsidRDefault="004C687B" w:rsidP="00950B64">
      <w:pPr>
        <w:pStyle w:val="ParaNumbering"/>
        <w:rPr>
          <w:szCs w:val="24"/>
        </w:rPr>
      </w:pPr>
      <w:r>
        <w:rPr>
          <w:szCs w:val="24"/>
        </w:rPr>
        <w:t xml:space="preserve">In the circumstances of this case, any </w:t>
      </w:r>
      <w:r w:rsidRPr="00EA14A1">
        <w:rPr>
          <w:i/>
          <w:iCs/>
          <w:szCs w:val="24"/>
        </w:rPr>
        <w:t>Jones v Dunkel</w:t>
      </w:r>
      <w:r>
        <w:rPr>
          <w:szCs w:val="24"/>
        </w:rPr>
        <w:t xml:space="preserve"> inference would have been </w:t>
      </w:r>
      <w:r w:rsidR="00AB32B1">
        <w:rPr>
          <w:szCs w:val="24"/>
        </w:rPr>
        <w:t xml:space="preserve">at best </w:t>
      </w:r>
      <w:r>
        <w:rPr>
          <w:szCs w:val="24"/>
        </w:rPr>
        <w:t>very weak</w:t>
      </w:r>
      <w:r w:rsidR="008546FD">
        <w:rPr>
          <w:szCs w:val="24"/>
        </w:rPr>
        <w:t xml:space="preserve"> and indecisive</w:t>
      </w:r>
      <w:r>
        <w:rPr>
          <w:szCs w:val="24"/>
        </w:rPr>
        <w:t xml:space="preserve">. </w:t>
      </w:r>
      <w:r w:rsidR="000B7F38">
        <w:rPr>
          <w:szCs w:val="24"/>
        </w:rPr>
        <w:t xml:space="preserve">Even if it could be inferred </w:t>
      </w:r>
      <w:r w:rsidR="00581702">
        <w:rPr>
          <w:szCs w:val="24"/>
        </w:rPr>
        <w:t xml:space="preserve">from the Minister’s failure to call Ms Payne </w:t>
      </w:r>
      <w:r w:rsidR="000B7F38">
        <w:rPr>
          <w:szCs w:val="24"/>
        </w:rPr>
        <w:t xml:space="preserve">that </w:t>
      </w:r>
      <w:r w:rsidR="008546FD">
        <w:rPr>
          <w:szCs w:val="24"/>
        </w:rPr>
        <w:t xml:space="preserve">her </w:t>
      </w:r>
      <w:r w:rsidR="00581702">
        <w:rPr>
          <w:szCs w:val="24"/>
        </w:rPr>
        <w:t xml:space="preserve">evidence </w:t>
      </w:r>
      <w:r w:rsidR="00042FD1">
        <w:rPr>
          <w:szCs w:val="24"/>
        </w:rPr>
        <w:t xml:space="preserve">would not have assisted the Minister, it would </w:t>
      </w:r>
      <w:r w:rsidR="008546FD">
        <w:rPr>
          <w:szCs w:val="24"/>
        </w:rPr>
        <w:t xml:space="preserve">equally have been </w:t>
      </w:r>
      <w:r w:rsidR="00042FD1">
        <w:rPr>
          <w:szCs w:val="24"/>
        </w:rPr>
        <w:t xml:space="preserve">open to infer that </w:t>
      </w:r>
      <w:r w:rsidR="008546FD">
        <w:rPr>
          <w:szCs w:val="24"/>
        </w:rPr>
        <w:t xml:space="preserve">Ms Payne’s </w:t>
      </w:r>
      <w:r w:rsidR="00042FD1">
        <w:rPr>
          <w:szCs w:val="24"/>
        </w:rPr>
        <w:t xml:space="preserve">evidence would not have assisted the Minister </w:t>
      </w:r>
      <w:r w:rsidR="00BA67E2">
        <w:rPr>
          <w:szCs w:val="24"/>
        </w:rPr>
        <w:t xml:space="preserve">simply </w:t>
      </w:r>
      <w:r w:rsidR="00042FD1">
        <w:rPr>
          <w:szCs w:val="24"/>
        </w:rPr>
        <w:t xml:space="preserve">because, for the reasons given by the primary judge, she was unlikely to have had any independent recollection of her reasoning process </w:t>
      </w:r>
      <w:r w:rsidR="00581702">
        <w:rPr>
          <w:szCs w:val="24"/>
        </w:rPr>
        <w:t>in relation to the appellant</w:t>
      </w:r>
      <w:r w:rsidR="00042FD1">
        <w:rPr>
          <w:szCs w:val="24"/>
        </w:rPr>
        <w:t>.</w:t>
      </w:r>
      <w:r w:rsidR="00C8299A">
        <w:rPr>
          <w:szCs w:val="24"/>
        </w:rPr>
        <w:t xml:space="preserve"> </w:t>
      </w:r>
      <w:r w:rsidR="00DA2124">
        <w:rPr>
          <w:szCs w:val="24"/>
        </w:rPr>
        <w:t xml:space="preserve">That would leave the issue to be determined </w:t>
      </w:r>
      <w:proofErr w:type="gramStart"/>
      <w:r w:rsidR="00DA2124">
        <w:rPr>
          <w:szCs w:val="24"/>
        </w:rPr>
        <w:t>on the basis of</w:t>
      </w:r>
      <w:proofErr w:type="gramEnd"/>
      <w:r w:rsidR="00DA2124">
        <w:rPr>
          <w:szCs w:val="24"/>
        </w:rPr>
        <w:t xml:space="preserve"> the documents that were before the Minister</w:t>
      </w:r>
      <w:r w:rsidR="00760D3E">
        <w:rPr>
          <w:szCs w:val="24"/>
        </w:rPr>
        <w:t>,</w:t>
      </w:r>
      <w:r w:rsidR="00DA2124">
        <w:rPr>
          <w:szCs w:val="24"/>
        </w:rPr>
        <w:t xml:space="preserve"> </w:t>
      </w:r>
      <w:r w:rsidR="00760D3E">
        <w:rPr>
          <w:szCs w:val="24"/>
        </w:rPr>
        <w:t xml:space="preserve">which, for the reasons given by the primary judge, did not support the inference </w:t>
      </w:r>
      <w:r w:rsidR="00472FF1">
        <w:rPr>
          <w:szCs w:val="24"/>
        </w:rPr>
        <w:t xml:space="preserve">advanced by the appellant, namely </w:t>
      </w:r>
      <w:r w:rsidR="00760D3E">
        <w:rPr>
          <w:szCs w:val="24"/>
        </w:rPr>
        <w:t xml:space="preserve">that the Minister misunderstood </w:t>
      </w:r>
      <w:r w:rsidR="00F50B42">
        <w:rPr>
          <w:szCs w:val="24"/>
        </w:rPr>
        <w:t>the nature of her powers</w:t>
      </w:r>
      <w:r w:rsidR="00DA2124">
        <w:rPr>
          <w:szCs w:val="24"/>
        </w:rPr>
        <w:t xml:space="preserve">. </w:t>
      </w:r>
      <w:r w:rsidR="00E10518">
        <w:rPr>
          <w:szCs w:val="24"/>
        </w:rPr>
        <w:t>We doubt that th</w:t>
      </w:r>
      <w:r w:rsidR="00472FF1">
        <w:rPr>
          <w:szCs w:val="24"/>
        </w:rPr>
        <w:t>at</w:t>
      </w:r>
      <w:r w:rsidR="00E10518">
        <w:rPr>
          <w:szCs w:val="24"/>
        </w:rPr>
        <w:t xml:space="preserve"> inference could more easily or readily </w:t>
      </w:r>
      <w:r w:rsidR="00472FF1">
        <w:rPr>
          <w:szCs w:val="24"/>
        </w:rPr>
        <w:t xml:space="preserve">have </w:t>
      </w:r>
      <w:r w:rsidR="00E10518">
        <w:rPr>
          <w:szCs w:val="24"/>
        </w:rPr>
        <w:t>be</w:t>
      </w:r>
      <w:r w:rsidR="00472FF1">
        <w:rPr>
          <w:szCs w:val="24"/>
        </w:rPr>
        <w:t>en</w:t>
      </w:r>
      <w:r w:rsidR="00E10518">
        <w:rPr>
          <w:szCs w:val="24"/>
        </w:rPr>
        <w:t xml:space="preserve"> drawn </w:t>
      </w:r>
      <w:r w:rsidR="00472FF1">
        <w:rPr>
          <w:szCs w:val="24"/>
        </w:rPr>
        <w:t>s</w:t>
      </w:r>
      <w:r w:rsidR="00D1237D">
        <w:rPr>
          <w:szCs w:val="24"/>
        </w:rPr>
        <w:t xml:space="preserve">imply </w:t>
      </w:r>
      <w:r w:rsidR="00E10518">
        <w:rPr>
          <w:szCs w:val="24"/>
        </w:rPr>
        <w:t xml:space="preserve">because </w:t>
      </w:r>
      <w:r w:rsidR="00950B64">
        <w:rPr>
          <w:szCs w:val="24"/>
        </w:rPr>
        <w:t>Ms Payne was not called by the Minister in all the circumstances.</w:t>
      </w:r>
      <w:r w:rsidR="00CE137E">
        <w:rPr>
          <w:szCs w:val="24"/>
        </w:rPr>
        <w:t xml:space="preserve"> </w:t>
      </w:r>
      <w:r w:rsidR="00950B64">
        <w:rPr>
          <w:szCs w:val="24"/>
        </w:rPr>
        <w:t>T</w:t>
      </w:r>
      <w:r w:rsidR="00CE137E">
        <w:rPr>
          <w:szCs w:val="24"/>
        </w:rPr>
        <w:t xml:space="preserve">he appellant’s recourse to the rule in </w:t>
      </w:r>
      <w:r w:rsidR="00CE137E" w:rsidRPr="00EA14A1">
        <w:rPr>
          <w:i/>
          <w:iCs/>
          <w:szCs w:val="24"/>
        </w:rPr>
        <w:t>Jones v Dunkel</w:t>
      </w:r>
      <w:r w:rsidR="00CE137E">
        <w:rPr>
          <w:szCs w:val="24"/>
        </w:rPr>
        <w:t xml:space="preserve"> in </w:t>
      </w:r>
      <w:r w:rsidR="00843CFF">
        <w:rPr>
          <w:szCs w:val="24"/>
        </w:rPr>
        <w:t xml:space="preserve">our view effectively </w:t>
      </w:r>
      <w:r w:rsidR="00CE137E">
        <w:rPr>
          <w:szCs w:val="24"/>
        </w:rPr>
        <w:t>sought to convert conjecture into inference.</w:t>
      </w:r>
    </w:p>
    <w:p w14:paraId="5FBCA30E" w14:textId="19D62D6E" w:rsidR="00723EC3" w:rsidRDefault="00843CFF" w:rsidP="00EE78EE">
      <w:pPr>
        <w:pStyle w:val="ParaNumbering"/>
        <w:tabs>
          <w:tab w:val="clear" w:pos="720"/>
        </w:tabs>
        <w:rPr>
          <w:szCs w:val="24"/>
        </w:rPr>
      </w:pPr>
      <w:r>
        <w:rPr>
          <w:szCs w:val="24"/>
        </w:rPr>
        <w:t>T</w:t>
      </w:r>
      <w:r w:rsidR="001D4125" w:rsidRPr="00096CB6">
        <w:rPr>
          <w:szCs w:val="24"/>
        </w:rPr>
        <w:t>he appellant</w:t>
      </w:r>
      <w:r w:rsidR="00391909">
        <w:rPr>
          <w:szCs w:val="24"/>
        </w:rPr>
        <w:t xml:space="preserve"> </w:t>
      </w:r>
      <w:r w:rsidR="001D4125" w:rsidRPr="00096CB6">
        <w:rPr>
          <w:szCs w:val="24"/>
        </w:rPr>
        <w:t>over-</w:t>
      </w:r>
      <w:r w:rsidR="00377176" w:rsidRPr="00096CB6">
        <w:rPr>
          <w:szCs w:val="24"/>
        </w:rPr>
        <w:t>stated</w:t>
      </w:r>
      <w:r w:rsidR="001D4125" w:rsidRPr="00096CB6">
        <w:rPr>
          <w:szCs w:val="24"/>
        </w:rPr>
        <w:t xml:space="preserve"> the </w:t>
      </w:r>
      <w:r w:rsidR="00787840">
        <w:rPr>
          <w:szCs w:val="24"/>
        </w:rPr>
        <w:t>significance</w:t>
      </w:r>
      <w:r w:rsidR="001D4125" w:rsidRPr="00096CB6">
        <w:rPr>
          <w:szCs w:val="24"/>
        </w:rPr>
        <w:t xml:space="preserve"> of Kenny J’s findings in </w:t>
      </w:r>
      <w:r w:rsidR="001D4125" w:rsidRPr="00096CB6">
        <w:rPr>
          <w:i/>
          <w:iCs/>
          <w:szCs w:val="24"/>
        </w:rPr>
        <w:t xml:space="preserve">Abramov. </w:t>
      </w:r>
      <w:r w:rsidR="008640A8">
        <w:rPr>
          <w:szCs w:val="24"/>
        </w:rPr>
        <w:t>T</w:t>
      </w:r>
      <w:r w:rsidR="00EE78EE" w:rsidRPr="00096CB6">
        <w:rPr>
          <w:szCs w:val="24"/>
        </w:rPr>
        <w:t>he primary judge noted at J [143]</w:t>
      </w:r>
      <w:r w:rsidR="001D4125" w:rsidRPr="00096CB6">
        <w:rPr>
          <w:szCs w:val="24"/>
        </w:rPr>
        <w:t>,</w:t>
      </w:r>
      <w:r w:rsidR="00EE78EE" w:rsidRPr="00096CB6">
        <w:rPr>
          <w:szCs w:val="24"/>
        </w:rPr>
        <w:t xml:space="preserve"> </w:t>
      </w:r>
      <w:r w:rsidR="008640A8">
        <w:rPr>
          <w:szCs w:val="24"/>
        </w:rPr>
        <w:t>that the finding he had made was</w:t>
      </w:r>
      <w:r w:rsidR="00EE78EE" w:rsidRPr="00096CB6">
        <w:rPr>
          <w:szCs w:val="24"/>
        </w:rPr>
        <w:t xml:space="preserve"> the opposite of that made by Kenny J</w:t>
      </w:r>
      <w:r w:rsidR="00723EC3" w:rsidRPr="00096CB6">
        <w:rPr>
          <w:szCs w:val="24"/>
        </w:rPr>
        <w:t xml:space="preserve"> in </w:t>
      </w:r>
      <w:r w:rsidR="00723EC3" w:rsidRPr="00096CB6">
        <w:rPr>
          <w:i/>
          <w:iCs/>
          <w:szCs w:val="24"/>
        </w:rPr>
        <w:t xml:space="preserve">Abramov </w:t>
      </w:r>
      <w:r w:rsidR="00723EC3" w:rsidRPr="00096CB6">
        <w:rPr>
          <w:szCs w:val="24"/>
        </w:rPr>
        <w:t>at [111]</w:t>
      </w:r>
      <w:proofErr w:type="gramStart"/>
      <w:r w:rsidR="00C715C4">
        <w:t>–</w:t>
      </w:r>
      <w:r w:rsidR="00723EC3" w:rsidRPr="00096CB6">
        <w:rPr>
          <w:szCs w:val="24"/>
        </w:rPr>
        <w:t>[</w:t>
      </w:r>
      <w:proofErr w:type="gramEnd"/>
      <w:r w:rsidR="00723EC3" w:rsidRPr="00096CB6">
        <w:rPr>
          <w:szCs w:val="24"/>
        </w:rPr>
        <w:t>124]</w:t>
      </w:r>
      <w:r w:rsidR="00EE78EE" w:rsidRPr="00096CB6">
        <w:rPr>
          <w:szCs w:val="24"/>
        </w:rPr>
        <w:t xml:space="preserve"> “on very similar</w:t>
      </w:r>
      <w:r w:rsidR="00723EC3" w:rsidRPr="00096CB6">
        <w:rPr>
          <w:szCs w:val="24"/>
        </w:rPr>
        <w:t>”</w:t>
      </w:r>
      <w:r w:rsidR="008640A8">
        <w:rPr>
          <w:szCs w:val="24"/>
        </w:rPr>
        <w:t xml:space="preserve"> </w:t>
      </w:r>
      <w:r w:rsidR="00EE78EE" w:rsidRPr="00096CB6">
        <w:rPr>
          <w:szCs w:val="24"/>
        </w:rPr>
        <w:t xml:space="preserve">evidence. </w:t>
      </w:r>
      <w:r w:rsidR="00BF063C" w:rsidRPr="00096CB6">
        <w:rPr>
          <w:szCs w:val="24"/>
        </w:rPr>
        <w:t xml:space="preserve">His Honour specifically </w:t>
      </w:r>
      <w:r w:rsidR="002E2D49" w:rsidRPr="00096CB6">
        <w:rPr>
          <w:szCs w:val="24"/>
        </w:rPr>
        <w:t>identified</w:t>
      </w:r>
      <w:r w:rsidR="00787840">
        <w:rPr>
          <w:szCs w:val="24"/>
        </w:rPr>
        <w:t>,</w:t>
      </w:r>
      <w:r w:rsidR="00C55B4A" w:rsidRPr="00096CB6">
        <w:rPr>
          <w:szCs w:val="24"/>
        </w:rPr>
        <w:t xml:space="preserve"> </w:t>
      </w:r>
      <w:r w:rsidR="00490799">
        <w:rPr>
          <w:szCs w:val="24"/>
        </w:rPr>
        <w:t>at J</w:t>
      </w:r>
      <w:r w:rsidR="009914E9">
        <w:rPr>
          <w:szCs w:val="24"/>
        </w:rPr>
        <w:t> </w:t>
      </w:r>
      <w:r w:rsidR="00490799">
        <w:rPr>
          <w:szCs w:val="24"/>
        </w:rPr>
        <w:t>[144]</w:t>
      </w:r>
      <w:r w:rsidR="00787840">
        <w:rPr>
          <w:szCs w:val="24"/>
        </w:rPr>
        <w:t>,</w:t>
      </w:r>
      <w:r w:rsidR="00490799">
        <w:rPr>
          <w:szCs w:val="24"/>
        </w:rPr>
        <w:t xml:space="preserve"> that </w:t>
      </w:r>
      <w:r w:rsidR="00503167">
        <w:rPr>
          <w:szCs w:val="24"/>
        </w:rPr>
        <w:t xml:space="preserve">the contents of the Ministerial Submission </w:t>
      </w:r>
      <w:r w:rsidR="00787840">
        <w:rPr>
          <w:szCs w:val="24"/>
        </w:rPr>
        <w:t xml:space="preserve">in the present case </w:t>
      </w:r>
      <w:r w:rsidR="00630862">
        <w:rPr>
          <w:szCs w:val="24"/>
        </w:rPr>
        <w:t>included a</w:t>
      </w:r>
      <w:r w:rsidR="00A855D0">
        <w:rPr>
          <w:szCs w:val="24"/>
        </w:rPr>
        <w:t xml:space="preserve"> more extensive</w:t>
      </w:r>
      <w:r w:rsidR="00630862">
        <w:rPr>
          <w:szCs w:val="24"/>
        </w:rPr>
        <w:t xml:space="preserve"> discussion of sanctions imposed by other countries </w:t>
      </w:r>
      <w:r w:rsidR="002A46DC">
        <w:rPr>
          <w:szCs w:val="24"/>
        </w:rPr>
        <w:t xml:space="preserve">and </w:t>
      </w:r>
      <w:r w:rsidR="00416276">
        <w:rPr>
          <w:szCs w:val="24"/>
        </w:rPr>
        <w:t xml:space="preserve">he </w:t>
      </w:r>
      <w:r w:rsidR="002A46DC">
        <w:rPr>
          <w:szCs w:val="24"/>
        </w:rPr>
        <w:t>considered that this must have directed the Minister’s mind to the pluses and minuses of listing the appellant</w:t>
      </w:r>
      <w:r w:rsidR="00921C00">
        <w:rPr>
          <w:szCs w:val="24"/>
        </w:rPr>
        <w:t xml:space="preserve">. On the other hand, </w:t>
      </w:r>
      <w:r w:rsidR="00AB2C35">
        <w:rPr>
          <w:szCs w:val="24"/>
        </w:rPr>
        <w:t>his Honour noted, Kenny</w:t>
      </w:r>
      <w:r w:rsidR="009265A2">
        <w:rPr>
          <w:szCs w:val="24"/>
        </w:rPr>
        <w:t> </w:t>
      </w:r>
      <w:r w:rsidR="00AB2C35">
        <w:rPr>
          <w:szCs w:val="24"/>
        </w:rPr>
        <w:t>J said</w:t>
      </w:r>
      <w:r w:rsidR="00E9452B">
        <w:rPr>
          <w:szCs w:val="24"/>
        </w:rPr>
        <w:t xml:space="preserve"> that</w:t>
      </w:r>
      <w:r w:rsidR="00AB2C35">
        <w:rPr>
          <w:szCs w:val="24"/>
        </w:rPr>
        <w:t xml:space="preserve"> </w:t>
      </w:r>
      <w:r w:rsidR="00381B2E">
        <w:rPr>
          <w:szCs w:val="24"/>
        </w:rPr>
        <w:t xml:space="preserve">the more limited </w:t>
      </w:r>
      <w:r w:rsidR="00C715C4">
        <w:rPr>
          <w:szCs w:val="24"/>
        </w:rPr>
        <w:t xml:space="preserve">evidence </w:t>
      </w:r>
      <w:r w:rsidR="00513544">
        <w:rPr>
          <w:szCs w:val="24"/>
        </w:rPr>
        <w:t xml:space="preserve">did not provide a </w:t>
      </w:r>
      <w:r w:rsidR="00F209B9">
        <w:rPr>
          <w:szCs w:val="24"/>
        </w:rPr>
        <w:t>b</w:t>
      </w:r>
      <w:r w:rsidR="00513544">
        <w:rPr>
          <w:szCs w:val="24"/>
        </w:rPr>
        <w:t xml:space="preserve">asis to infer that the Minister was made aware of and exercised the discretion conferred on her by reg 6: </w:t>
      </w:r>
      <w:r w:rsidR="00513544">
        <w:rPr>
          <w:i/>
          <w:iCs/>
          <w:szCs w:val="24"/>
        </w:rPr>
        <w:t xml:space="preserve">Abramov </w:t>
      </w:r>
      <w:r w:rsidR="00513544">
        <w:rPr>
          <w:szCs w:val="24"/>
        </w:rPr>
        <w:t>at [120</w:t>
      </w:r>
      <w:r w:rsidR="00966A32">
        <w:rPr>
          <w:szCs w:val="24"/>
        </w:rPr>
        <w:t xml:space="preserve">]. </w:t>
      </w:r>
      <w:r w:rsidR="00FC3D9D">
        <w:rPr>
          <w:szCs w:val="24"/>
        </w:rPr>
        <w:t xml:space="preserve">Thus, </w:t>
      </w:r>
      <w:r w:rsidR="00EC6807">
        <w:rPr>
          <w:szCs w:val="24"/>
        </w:rPr>
        <w:t xml:space="preserve">for the reasons explained, </w:t>
      </w:r>
      <w:r w:rsidR="00FC3D9D">
        <w:rPr>
          <w:szCs w:val="24"/>
        </w:rPr>
        <w:t>h</w:t>
      </w:r>
      <w:r w:rsidR="00FC3D9D" w:rsidRPr="00096CB6">
        <w:rPr>
          <w:szCs w:val="24"/>
        </w:rPr>
        <w:t xml:space="preserve">is Honour </w:t>
      </w:r>
      <w:r w:rsidR="00FC3D9D">
        <w:rPr>
          <w:szCs w:val="24"/>
        </w:rPr>
        <w:t>came</w:t>
      </w:r>
      <w:r w:rsidR="00FC3D9D" w:rsidRPr="00096CB6">
        <w:rPr>
          <w:szCs w:val="24"/>
        </w:rPr>
        <w:t xml:space="preserve"> to a different conclusion</w:t>
      </w:r>
      <w:r w:rsidR="002F4A5D">
        <w:rPr>
          <w:szCs w:val="24"/>
        </w:rPr>
        <w:t xml:space="preserve"> to</w:t>
      </w:r>
      <w:r w:rsidR="00954995">
        <w:rPr>
          <w:szCs w:val="24"/>
        </w:rPr>
        <w:t xml:space="preserve"> Kenny J in</w:t>
      </w:r>
      <w:r w:rsidR="002F4A5D">
        <w:rPr>
          <w:szCs w:val="24"/>
        </w:rPr>
        <w:t xml:space="preserve"> </w:t>
      </w:r>
      <w:r w:rsidR="002F4A5D">
        <w:rPr>
          <w:i/>
          <w:iCs/>
          <w:szCs w:val="24"/>
        </w:rPr>
        <w:t>Abramov</w:t>
      </w:r>
      <w:r w:rsidR="00FC3D9D" w:rsidRPr="00096CB6">
        <w:rPr>
          <w:szCs w:val="24"/>
        </w:rPr>
        <w:t xml:space="preserve"> about what the language of the Recommendation in the Ministerial Submission would have conveyed to the Minister.</w:t>
      </w:r>
    </w:p>
    <w:p w14:paraId="79DC0209" w14:textId="45955C8A" w:rsidR="00D53544" w:rsidRPr="0035669B" w:rsidRDefault="00A61325" w:rsidP="0035669B">
      <w:pPr>
        <w:pStyle w:val="ParaNumbering"/>
        <w:tabs>
          <w:tab w:val="clear" w:pos="720"/>
        </w:tabs>
        <w:rPr>
          <w:szCs w:val="24"/>
        </w:rPr>
      </w:pPr>
      <w:r>
        <w:rPr>
          <w:szCs w:val="24"/>
        </w:rPr>
        <w:lastRenderedPageBreak/>
        <w:t>It was the</w:t>
      </w:r>
      <w:r w:rsidR="00F10643">
        <w:rPr>
          <w:szCs w:val="24"/>
        </w:rPr>
        <w:t xml:space="preserve"> primary judge’s</w:t>
      </w:r>
      <w:r>
        <w:rPr>
          <w:szCs w:val="24"/>
        </w:rPr>
        <w:t xml:space="preserve"> </w:t>
      </w:r>
      <w:r w:rsidR="00571757">
        <w:rPr>
          <w:szCs w:val="24"/>
        </w:rPr>
        <w:t xml:space="preserve">findings made on </w:t>
      </w:r>
      <w:r w:rsidR="001B06E4">
        <w:rPr>
          <w:szCs w:val="24"/>
        </w:rPr>
        <w:t>“very similar”, but not identical</w:t>
      </w:r>
      <w:r w:rsidR="002D5CF3">
        <w:rPr>
          <w:szCs w:val="24"/>
        </w:rPr>
        <w:t>,</w:t>
      </w:r>
      <w:r w:rsidR="001B06E4">
        <w:rPr>
          <w:szCs w:val="24"/>
        </w:rPr>
        <w:t xml:space="preserve"> evidence </w:t>
      </w:r>
      <w:r>
        <w:rPr>
          <w:szCs w:val="24"/>
        </w:rPr>
        <w:t xml:space="preserve">that led </w:t>
      </w:r>
      <w:r w:rsidR="00F10643">
        <w:rPr>
          <w:szCs w:val="24"/>
        </w:rPr>
        <w:t xml:space="preserve">his Honour </w:t>
      </w:r>
      <w:r w:rsidR="00EE6E6C">
        <w:rPr>
          <w:szCs w:val="24"/>
        </w:rPr>
        <w:t>to observe</w:t>
      </w:r>
      <w:r w:rsidR="00EE78EE" w:rsidRPr="006370A9">
        <w:rPr>
          <w:szCs w:val="24"/>
        </w:rPr>
        <w:t xml:space="preserve"> that the question of what inference should be drawn from evidence is a factual one and that findings of fact in one case do not bind a court in a subsequent case</w:t>
      </w:r>
      <w:r w:rsidR="007D6FAC">
        <w:rPr>
          <w:szCs w:val="24"/>
        </w:rPr>
        <w:t>, citing</w:t>
      </w:r>
      <w:r w:rsidR="00EE78EE" w:rsidRPr="006370A9">
        <w:rPr>
          <w:szCs w:val="24"/>
        </w:rPr>
        <w:t xml:space="preserve"> </w:t>
      </w:r>
      <w:r w:rsidR="00EE78EE" w:rsidRPr="006370A9">
        <w:rPr>
          <w:i/>
          <w:iCs/>
          <w:szCs w:val="24"/>
        </w:rPr>
        <w:t xml:space="preserve">Vairy </w:t>
      </w:r>
      <w:r w:rsidR="007D6FAC" w:rsidRPr="0083283B">
        <w:rPr>
          <w:i/>
          <w:iCs/>
        </w:rPr>
        <w:t>v Wyong Shire Council</w:t>
      </w:r>
      <w:r w:rsidR="007D6FAC" w:rsidRPr="0083283B">
        <w:t xml:space="preserve"> (2005) 223 CLR 422; [2005] HCA 62</w:t>
      </w:r>
      <w:r w:rsidR="007D6FAC">
        <w:t xml:space="preserve"> </w:t>
      </w:r>
      <w:r w:rsidR="00EE78EE" w:rsidRPr="006370A9">
        <w:rPr>
          <w:szCs w:val="24"/>
        </w:rPr>
        <w:t xml:space="preserve">at [3] (Gleeson CJ and Kirby J), [30] (McHugh J). </w:t>
      </w:r>
      <w:r w:rsidR="0029225E">
        <w:rPr>
          <w:szCs w:val="24"/>
        </w:rPr>
        <w:t xml:space="preserve">His Honour </w:t>
      </w:r>
      <w:r w:rsidR="00F139F2">
        <w:rPr>
          <w:szCs w:val="24"/>
        </w:rPr>
        <w:t>correctly identified</w:t>
      </w:r>
      <w:r w:rsidR="0029225E">
        <w:rPr>
          <w:szCs w:val="24"/>
        </w:rPr>
        <w:t xml:space="preserve"> at J [143],</w:t>
      </w:r>
      <w:r w:rsidR="00F139F2">
        <w:rPr>
          <w:szCs w:val="24"/>
        </w:rPr>
        <w:t xml:space="preserve"> </w:t>
      </w:r>
      <w:r w:rsidR="0029225E">
        <w:rPr>
          <w:szCs w:val="24"/>
        </w:rPr>
        <w:t>that it w</w:t>
      </w:r>
      <w:r w:rsidR="0035669B">
        <w:rPr>
          <w:szCs w:val="24"/>
        </w:rPr>
        <w:t xml:space="preserve">as therefore </w:t>
      </w:r>
      <w:r w:rsidR="00B60FCD" w:rsidRPr="006370A9">
        <w:rPr>
          <w:szCs w:val="24"/>
        </w:rPr>
        <w:t xml:space="preserve">unnecessary </w:t>
      </w:r>
      <w:r w:rsidR="00EE78EE" w:rsidRPr="006370A9">
        <w:rPr>
          <w:szCs w:val="24"/>
        </w:rPr>
        <w:t xml:space="preserve">to consider whether the findings made by Kenny J on the evidence in </w:t>
      </w:r>
      <w:r w:rsidR="00EE78EE" w:rsidRPr="006370A9">
        <w:rPr>
          <w:i/>
          <w:iCs/>
          <w:szCs w:val="24"/>
        </w:rPr>
        <w:t xml:space="preserve">Abramov </w:t>
      </w:r>
      <w:r w:rsidR="00EE78EE" w:rsidRPr="006370A9">
        <w:rPr>
          <w:szCs w:val="24"/>
        </w:rPr>
        <w:t xml:space="preserve">was “clearly wrong”, citing </w:t>
      </w:r>
      <w:r w:rsidR="0035669B">
        <w:t xml:space="preserve">by way of </w:t>
      </w:r>
      <w:r w:rsidR="000A61A2">
        <w:t xml:space="preserve">contrasting </w:t>
      </w:r>
      <w:r w:rsidR="0035669B">
        <w:t xml:space="preserve">example </w:t>
      </w:r>
      <w:r w:rsidR="0035669B" w:rsidRPr="0083283B">
        <w:rPr>
          <w:i/>
          <w:iCs/>
        </w:rPr>
        <w:t xml:space="preserve">Australian Securities and Investments Commission v </w:t>
      </w:r>
      <w:r w:rsidR="0035669B" w:rsidRPr="00087CA8">
        <w:rPr>
          <w:b/>
          <w:bCs/>
          <w:i/>
          <w:iCs/>
        </w:rPr>
        <w:t>BHF</w:t>
      </w:r>
      <w:r w:rsidR="0035669B" w:rsidRPr="0083283B">
        <w:rPr>
          <w:i/>
          <w:iCs/>
        </w:rPr>
        <w:t xml:space="preserve"> Solutions Pty Ltd</w:t>
      </w:r>
      <w:r w:rsidR="0035669B" w:rsidRPr="0083283B">
        <w:t xml:space="preserve"> </w:t>
      </w:r>
      <w:r w:rsidR="00734EFC">
        <w:t xml:space="preserve">(2021) 153 ACSR 469; </w:t>
      </w:r>
      <w:r w:rsidR="0035669B" w:rsidRPr="0083283B">
        <w:t>[2021] FCA 684</w:t>
      </w:r>
      <w:r w:rsidR="0035669B">
        <w:t xml:space="preserve"> at [106] (Halley J)</w:t>
      </w:r>
      <w:r w:rsidR="00EB04D7">
        <w:rPr>
          <w:szCs w:val="24"/>
        </w:rPr>
        <w:t xml:space="preserve">, in turn </w:t>
      </w:r>
      <w:r w:rsidR="00C5503C" w:rsidRPr="006370A9">
        <w:rPr>
          <w:szCs w:val="24"/>
        </w:rPr>
        <w:t xml:space="preserve">citing </w:t>
      </w:r>
      <w:r w:rsidR="00F25CD8" w:rsidRPr="00C20FF2">
        <w:rPr>
          <w:i/>
          <w:iCs/>
        </w:rPr>
        <w:t>Hicks v Minister for Immigration &amp; Multicultural &amp; Indigenous Affairs</w:t>
      </w:r>
      <w:r w:rsidR="00500A68" w:rsidRPr="0083283B">
        <w:rPr>
          <w:szCs w:val="24"/>
        </w:rPr>
        <w:t xml:space="preserve"> [2003] FCA 757</w:t>
      </w:r>
      <w:r w:rsidR="00500A68" w:rsidRPr="006370A9">
        <w:rPr>
          <w:szCs w:val="24"/>
        </w:rPr>
        <w:t xml:space="preserve"> at </w:t>
      </w:r>
      <w:r w:rsidR="00F25CD8" w:rsidRPr="00087CA8">
        <w:t>[75]</w:t>
      </w:r>
      <w:r w:rsidR="00F25CD8" w:rsidRPr="006370A9">
        <w:rPr>
          <w:szCs w:val="24"/>
        </w:rPr>
        <w:t>–</w:t>
      </w:r>
      <w:r w:rsidR="00F25CD8" w:rsidRPr="00087CA8">
        <w:t>[76]</w:t>
      </w:r>
      <w:r w:rsidR="00500A68" w:rsidRPr="006370A9">
        <w:rPr>
          <w:szCs w:val="24"/>
        </w:rPr>
        <w:t xml:space="preserve"> </w:t>
      </w:r>
      <w:r w:rsidR="00FA3ED1">
        <w:rPr>
          <w:szCs w:val="24"/>
        </w:rPr>
        <w:t>(</w:t>
      </w:r>
      <w:r w:rsidR="00500A68" w:rsidRPr="006370A9">
        <w:rPr>
          <w:szCs w:val="24"/>
        </w:rPr>
        <w:t>French J</w:t>
      </w:r>
      <w:r w:rsidR="0033171B">
        <w:rPr>
          <w:szCs w:val="24"/>
        </w:rPr>
        <w:t xml:space="preserve">, </w:t>
      </w:r>
      <w:r w:rsidR="00D53C6C" w:rsidRPr="006370A9">
        <w:rPr>
          <w:szCs w:val="24"/>
        </w:rPr>
        <w:t>as his Honour then was</w:t>
      </w:r>
      <w:r w:rsidR="00FA3ED1">
        <w:rPr>
          <w:szCs w:val="24"/>
        </w:rPr>
        <w:t>)</w:t>
      </w:r>
      <w:r w:rsidR="00EE78EE" w:rsidRPr="006370A9">
        <w:rPr>
          <w:szCs w:val="24"/>
        </w:rPr>
        <w:t>.</w:t>
      </w:r>
      <w:r w:rsidR="00165EAD" w:rsidRPr="006370A9">
        <w:rPr>
          <w:szCs w:val="24"/>
        </w:rPr>
        <w:t xml:space="preserve"> There was no error in his Honour’s </w:t>
      </w:r>
      <w:r w:rsidR="00FF34EF">
        <w:rPr>
          <w:szCs w:val="24"/>
        </w:rPr>
        <w:t>conclusions</w:t>
      </w:r>
      <w:r w:rsidR="00165EAD" w:rsidRPr="006370A9">
        <w:rPr>
          <w:szCs w:val="24"/>
        </w:rPr>
        <w:t>.</w:t>
      </w:r>
    </w:p>
    <w:p w14:paraId="7497E9DC" w14:textId="0E0BF9E5" w:rsidR="001F4779" w:rsidRPr="00A9614F" w:rsidRDefault="001F4779" w:rsidP="00087CA8">
      <w:pPr>
        <w:pStyle w:val="Heading4"/>
      </w:pPr>
      <w:r w:rsidRPr="00A9614F">
        <w:t xml:space="preserve">The </w:t>
      </w:r>
      <w:r w:rsidR="007414ED" w:rsidRPr="00A9614F">
        <w:t>narrower argument</w:t>
      </w:r>
    </w:p>
    <w:p w14:paraId="316BF44A" w14:textId="7C7E7EE9" w:rsidR="008E2C5D" w:rsidRPr="00096CB6" w:rsidRDefault="001F4779" w:rsidP="001F4779">
      <w:pPr>
        <w:pStyle w:val="ParaNumbering"/>
        <w:tabs>
          <w:tab w:val="clear" w:pos="720"/>
        </w:tabs>
        <w:rPr>
          <w:szCs w:val="24"/>
        </w:rPr>
      </w:pPr>
      <w:r w:rsidRPr="00096CB6">
        <w:rPr>
          <w:szCs w:val="24"/>
        </w:rPr>
        <w:t>In relation to the narrower argument (</w:t>
      </w:r>
      <w:r w:rsidR="00FA231C">
        <w:rPr>
          <w:szCs w:val="24"/>
        </w:rPr>
        <w:t>dealt with</w:t>
      </w:r>
      <w:r w:rsidRPr="00096CB6">
        <w:rPr>
          <w:szCs w:val="24"/>
        </w:rPr>
        <w:t xml:space="preserve"> at J</w:t>
      </w:r>
      <w:r w:rsidR="007113FA" w:rsidRPr="00096CB6">
        <w:rPr>
          <w:szCs w:val="24"/>
        </w:rPr>
        <w:t> </w:t>
      </w:r>
      <w:r w:rsidRPr="00096CB6">
        <w:rPr>
          <w:szCs w:val="24"/>
        </w:rPr>
        <w:t>[146]</w:t>
      </w:r>
      <w:proofErr w:type="gramStart"/>
      <w:r w:rsidR="00075221">
        <w:t>–</w:t>
      </w:r>
      <w:r w:rsidRPr="00096CB6">
        <w:rPr>
          <w:szCs w:val="24"/>
        </w:rPr>
        <w:t>[</w:t>
      </w:r>
      <w:proofErr w:type="gramEnd"/>
      <w:r w:rsidRPr="00096CB6">
        <w:rPr>
          <w:szCs w:val="24"/>
        </w:rPr>
        <w:t>157]</w:t>
      </w:r>
      <w:r w:rsidR="00360EAF">
        <w:rPr>
          <w:szCs w:val="24"/>
        </w:rPr>
        <w:t>)</w:t>
      </w:r>
      <w:r w:rsidRPr="00096CB6">
        <w:rPr>
          <w:szCs w:val="24"/>
        </w:rPr>
        <w:t>, the appellant submitted that the primary judge’s errors were fourfold.</w:t>
      </w:r>
    </w:p>
    <w:p w14:paraId="40B94E60" w14:textId="1BD79DBE" w:rsidR="001F4779" w:rsidRPr="00096CB6" w:rsidRDefault="001F4779" w:rsidP="001F4779">
      <w:pPr>
        <w:pStyle w:val="ParaNumbering"/>
        <w:tabs>
          <w:tab w:val="clear" w:pos="720"/>
        </w:tabs>
        <w:rPr>
          <w:szCs w:val="24"/>
        </w:rPr>
      </w:pPr>
      <w:r w:rsidRPr="00087CA8">
        <w:rPr>
          <w:szCs w:val="24"/>
        </w:rPr>
        <w:t>First</w:t>
      </w:r>
      <w:r w:rsidRPr="00096CB6">
        <w:rPr>
          <w:szCs w:val="24"/>
        </w:rPr>
        <w:t xml:space="preserve">, </w:t>
      </w:r>
      <w:r w:rsidR="008E2C5D" w:rsidRPr="00096CB6">
        <w:rPr>
          <w:szCs w:val="24"/>
        </w:rPr>
        <w:t>the primary judge</w:t>
      </w:r>
      <w:r w:rsidRPr="00096CB6">
        <w:rPr>
          <w:szCs w:val="24"/>
        </w:rPr>
        <w:t xml:space="preserve"> confined himself to considering whether “the Recommendation </w:t>
      </w:r>
      <w:r w:rsidRPr="00096CB6">
        <w:rPr>
          <w:i/>
          <w:iCs/>
          <w:szCs w:val="24"/>
        </w:rPr>
        <w:t xml:space="preserve">in itself is … sufficient </w:t>
      </w:r>
      <w:r w:rsidRPr="00096CB6">
        <w:rPr>
          <w:szCs w:val="24"/>
        </w:rPr>
        <w:t>to sustain a finding that the Minister was led into error”: J</w:t>
      </w:r>
      <w:r w:rsidR="008E2C5D" w:rsidRPr="00096CB6">
        <w:rPr>
          <w:szCs w:val="24"/>
        </w:rPr>
        <w:t> </w:t>
      </w:r>
      <w:r w:rsidRPr="00096CB6">
        <w:rPr>
          <w:szCs w:val="24"/>
        </w:rPr>
        <w:t>[155]</w:t>
      </w:r>
      <w:r w:rsidR="00734EFC">
        <w:rPr>
          <w:szCs w:val="24"/>
        </w:rPr>
        <w:t xml:space="preserve"> (emphasis added)</w:t>
      </w:r>
      <w:r w:rsidRPr="00096CB6">
        <w:rPr>
          <w:szCs w:val="24"/>
        </w:rPr>
        <w:t xml:space="preserve">. </w:t>
      </w:r>
      <w:r w:rsidR="0075662F" w:rsidRPr="00096CB6">
        <w:rPr>
          <w:szCs w:val="24"/>
        </w:rPr>
        <w:t>The appellant submitted that</w:t>
      </w:r>
      <w:r w:rsidRPr="00096CB6">
        <w:rPr>
          <w:szCs w:val="24"/>
        </w:rPr>
        <w:t xml:space="preserve"> the Minister</w:t>
      </w:r>
      <w:r w:rsidR="0075662F" w:rsidRPr="00096CB6">
        <w:rPr>
          <w:szCs w:val="24"/>
        </w:rPr>
        <w:t xml:space="preserve"> also</w:t>
      </w:r>
      <w:r w:rsidRPr="00096CB6">
        <w:rPr>
          <w:szCs w:val="24"/>
        </w:rPr>
        <w:t xml:space="preserve"> directly engaged </w:t>
      </w:r>
      <w:r w:rsidR="0075662F" w:rsidRPr="00096CB6">
        <w:rPr>
          <w:szCs w:val="24"/>
        </w:rPr>
        <w:t>with</w:t>
      </w:r>
      <w:r w:rsidRPr="00096CB6">
        <w:rPr>
          <w:szCs w:val="24"/>
        </w:rPr>
        <w:t xml:space="preserve"> the Decision Record</w:t>
      </w:r>
      <w:r w:rsidR="00004F38">
        <w:rPr>
          <w:szCs w:val="24"/>
        </w:rPr>
        <w:t>,</w:t>
      </w:r>
      <w:r w:rsidR="00004F38" w:rsidRPr="00004F38">
        <w:rPr>
          <w:szCs w:val="24"/>
        </w:rPr>
        <w:t xml:space="preserve"> </w:t>
      </w:r>
      <w:r w:rsidR="00004F38" w:rsidRPr="00096CB6">
        <w:rPr>
          <w:szCs w:val="24"/>
        </w:rPr>
        <w:t>which was phrased in the first person, and signed by the Minister</w:t>
      </w:r>
      <w:r w:rsidR="00004F38">
        <w:rPr>
          <w:szCs w:val="24"/>
        </w:rPr>
        <w:t>,</w:t>
      </w:r>
      <w:r w:rsidR="00D673E1" w:rsidRPr="00096CB6">
        <w:rPr>
          <w:szCs w:val="24"/>
        </w:rPr>
        <w:t xml:space="preserve"> and his Honour was wrong to limit himself to the Recommendation</w:t>
      </w:r>
      <w:r w:rsidR="00C44693">
        <w:rPr>
          <w:szCs w:val="24"/>
        </w:rPr>
        <w:t xml:space="preserve"> in the Ministerial Submission</w:t>
      </w:r>
      <w:r w:rsidR="00D673E1" w:rsidRPr="00096CB6">
        <w:rPr>
          <w:szCs w:val="24"/>
        </w:rPr>
        <w:t xml:space="preserve">. The appellant submitted that </w:t>
      </w:r>
      <w:r w:rsidR="00004F38">
        <w:rPr>
          <w:szCs w:val="24"/>
        </w:rPr>
        <w:t xml:space="preserve">the terms of </w:t>
      </w:r>
      <w:r w:rsidR="00D673E1" w:rsidRPr="00096CB6">
        <w:rPr>
          <w:szCs w:val="24"/>
        </w:rPr>
        <w:t>the Decision Record</w:t>
      </w:r>
      <w:r w:rsidR="0075662F" w:rsidRPr="00096CB6">
        <w:rPr>
          <w:szCs w:val="24"/>
        </w:rPr>
        <w:t xml:space="preserve">, </w:t>
      </w:r>
      <w:r w:rsidRPr="00096CB6">
        <w:rPr>
          <w:szCs w:val="24"/>
        </w:rPr>
        <w:t>were consistent only with the Minister making a binary choice between “designation and declaration” and “Do Not List”.</w:t>
      </w:r>
    </w:p>
    <w:p w14:paraId="5ED3A74C" w14:textId="39CB477C" w:rsidR="00EB54D2" w:rsidRDefault="00EE7541" w:rsidP="00EB54D2">
      <w:pPr>
        <w:pStyle w:val="ParaNumbering"/>
        <w:tabs>
          <w:tab w:val="clear" w:pos="720"/>
        </w:tabs>
        <w:rPr>
          <w:szCs w:val="24"/>
        </w:rPr>
      </w:pPr>
      <w:r>
        <w:rPr>
          <w:szCs w:val="24"/>
        </w:rPr>
        <w:t>It is in</w:t>
      </w:r>
      <w:r w:rsidR="00D13442">
        <w:rPr>
          <w:szCs w:val="24"/>
        </w:rPr>
        <w:t xml:space="preserve">correct to suggest, as the appellant </w:t>
      </w:r>
      <w:r w:rsidR="002A482D">
        <w:rPr>
          <w:szCs w:val="24"/>
        </w:rPr>
        <w:t>does</w:t>
      </w:r>
      <w:r w:rsidR="00D13442">
        <w:rPr>
          <w:szCs w:val="24"/>
        </w:rPr>
        <w:t>, that the primary judge confined himself to the Recommendation</w:t>
      </w:r>
      <w:r w:rsidR="00BF528A">
        <w:rPr>
          <w:szCs w:val="24"/>
        </w:rPr>
        <w:t xml:space="preserve"> </w:t>
      </w:r>
      <w:r w:rsidR="0014652E">
        <w:rPr>
          <w:szCs w:val="24"/>
        </w:rPr>
        <w:t>because,</w:t>
      </w:r>
      <w:r w:rsidR="00BF528A">
        <w:rPr>
          <w:szCs w:val="24"/>
        </w:rPr>
        <w:t xml:space="preserve"> as mentioned above, it is artificial to </w:t>
      </w:r>
      <w:r w:rsidR="008C7B9A">
        <w:rPr>
          <w:szCs w:val="24"/>
        </w:rPr>
        <w:t xml:space="preserve">focus on the Recommendation as if it </w:t>
      </w:r>
      <w:r w:rsidR="0014652E">
        <w:rPr>
          <w:szCs w:val="24"/>
        </w:rPr>
        <w:t>were</w:t>
      </w:r>
      <w:r w:rsidR="008C7B9A">
        <w:rPr>
          <w:szCs w:val="24"/>
        </w:rPr>
        <w:t xml:space="preserve"> separate to the Decision Record</w:t>
      </w:r>
      <w:r w:rsidR="00D13442">
        <w:rPr>
          <w:szCs w:val="24"/>
        </w:rPr>
        <w:t xml:space="preserve">. </w:t>
      </w:r>
      <w:r w:rsidR="00EB54D2">
        <w:rPr>
          <w:szCs w:val="24"/>
        </w:rPr>
        <w:t xml:space="preserve">As the </w:t>
      </w:r>
      <w:r w:rsidR="00D13442">
        <w:rPr>
          <w:szCs w:val="24"/>
        </w:rPr>
        <w:t xml:space="preserve">primary judge’s </w:t>
      </w:r>
      <w:r w:rsidR="00EB54D2">
        <w:rPr>
          <w:szCs w:val="24"/>
        </w:rPr>
        <w:t xml:space="preserve">reasons show, </w:t>
      </w:r>
      <w:r w:rsidR="0033171B">
        <w:rPr>
          <w:szCs w:val="24"/>
        </w:rPr>
        <w:t>h</w:t>
      </w:r>
      <w:r w:rsidR="00D13442">
        <w:rPr>
          <w:szCs w:val="24"/>
        </w:rPr>
        <w:t>is Honour</w:t>
      </w:r>
      <w:r w:rsidR="00EB54D2">
        <w:rPr>
          <w:szCs w:val="24"/>
        </w:rPr>
        <w:t xml:space="preserve"> had regard to the Decision Record, at </w:t>
      </w:r>
      <w:r w:rsidR="00EB54D2" w:rsidRPr="00C25478">
        <w:t>J</w:t>
      </w:r>
      <w:r w:rsidR="00EB54D2">
        <w:t> [150]</w:t>
      </w:r>
      <w:proofErr w:type="gramStart"/>
      <w:r w:rsidR="00EB54D2">
        <w:t>–[</w:t>
      </w:r>
      <w:proofErr w:type="gramEnd"/>
      <w:r w:rsidR="00EB54D2">
        <w:t xml:space="preserve">151], </w:t>
      </w:r>
      <w:r w:rsidR="00EB54D2" w:rsidRPr="00C25478">
        <w:t>in</w:t>
      </w:r>
      <w:r w:rsidR="00EB54D2">
        <w:rPr>
          <w:szCs w:val="24"/>
        </w:rPr>
        <w:t xml:space="preserve"> addition to the Explanatory Statement, the Statement of Compatibility and </w:t>
      </w:r>
      <w:r w:rsidR="0014652E">
        <w:rPr>
          <w:szCs w:val="24"/>
        </w:rPr>
        <w:t xml:space="preserve">the </w:t>
      </w:r>
      <w:r w:rsidR="00EB54D2">
        <w:rPr>
          <w:szCs w:val="24"/>
        </w:rPr>
        <w:t>Recommendation contained in the Ministerial Submission: J [147]</w:t>
      </w:r>
      <w:r w:rsidR="00EB54D2">
        <w:t>–</w:t>
      </w:r>
      <w:r w:rsidR="00EB54D2">
        <w:rPr>
          <w:szCs w:val="24"/>
        </w:rPr>
        <w:t xml:space="preserve">[150]. In considering the narrower argument, his Honour commenced with the Explanatory Statement and </w:t>
      </w:r>
      <w:r w:rsidR="00AB58ED">
        <w:rPr>
          <w:szCs w:val="24"/>
        </w:rPr>
        <w:t xml:space="preserve">the </w:t>
      </w:r>
      <w:r w:rsidR="00EB54D2">
        <w:rPr>
          <w:szCs w:val="24"/>
        </w:rPr>
        <w:t>Statement of Compatibility, at J [147]</w:t>
      </w:r>
      <w:proofErr w:type="gramStart"/>
      <w:r w:rsidR="00EB54D2">
        <w:t>–</w:t>
      </w:r>
      <w:r w:rsidR="00EB54D2">
        <w:rPr>
          <w:szCs w:val="24"/>
        </w:rPr>
        <w:t>[</w:t>
      </w:r>
      <w:proofErr w:type="gramEnd"/>
      <w:r w:rsidR="00EB54D2">
        <w:rPr>
          <w:szCs w:val="24"/>
        </w:rPr>
        <w:t xml:space="preserve">149], which his Honour considered captured the fact that discretion was involved and that it was open to the Minister to designate or declare a person, or do both or neither. His Honour then observed, at J [150], that the Recommendation contained in the Ministerial Submissions presented somewhat more difficulty in relation to the narrower argument, and then proceeded to note, at </w:t>
      </w:r>
      <w:r w:rsidR="00EB54D2">
        <w:rPr>
          <w:szCs w:val="24"/>
        </w:rPr>
        <w:lastRenderedPageBreak/>
        <w:t>J [150]</w:t>
      </w:r>
      <w:proofErr w:type="gramStart"/>
      <w:r w:rsidR="00EB54D2">
        <w:t>–</w:t>
      </w:r>
      <w:r w:rsidR="00EB54D2">
        <w:rPr>
          <w:szCs w:val="24"/>
        </w:rPr>
        <w:t>[</w:t>
      </w:r>
      <w:proofErr w:type="gramEnd"/>
      <w:r w:rsidR="00EB54D2">
        <w:rPr>
          <w:szCs w:val="24"/>
        </w:rPr>
        <w:t>153], the competing arguments of the parties and difficulties in resolving the arguments.</w:t>
      </w:r>
    </w:p>
    <w:p w14:paraId="78C5F8A1" w14:textId="3005CE7B" w:rsidR="00EB54D2" w:rsidRPr="00096CB6" w:rsidRDefault="00EB54D2" w:rsidP="00EB54D2">
      <w:pPr>
        <w:pStyle w:val="ParaNumbering"/>
        <w:tabs>
          <w:tab w:val="clear" w:pos="720"/>
        </w:tabs>
        <w:rPr>
          <w:szCs w:val="24"/>
        </w:rPr>
      </w:pPr>
      <w:r>
        <w:rPr>
          <w:szCs w:val="24"/>
        </w:rPr>
        <w:t>In the result, his Honour concluded that the Recommendation “in itself” was not sufficient to sustain a finding that the Minister was led into the error of acting on the understanding that her options were limited to imposing both measures (designation and declaration) or neither. His Honour reached that result having already concluded, at J [147], that the Explanatory Statement and Statement of Compatibility captured the fact that discretion was involved and that it was open to the Minister to do both or neither. In our view, there was no error in His Honour’s conclusion, at J [157], that there was no persuasive evidence of the Minister having been led into error.</w:t>
      </w:r>
    </w:p>
    <w:p w14:paraId="3CEC5F3F" w14:textId="46822222" w:rsidR="001F4779" w:rsidRPr="00096CB6" w:rsidRDefault="001F4779" w:rsidP="001F4779">
      <w:pPr>
        <w:pStyle w:val="ParaNumbering"/>
        <w:tabs>
          <w:tab w:val="clear" w:pos="720"/>
        </w:tabs>
        <w:rPr>
          <w:szCs w:val="24"/>
        </w:rPr>
      </w:pPr>
      <w:r w:rsidRPr="00087CA8">
        <w:rPr>
          <w:szCs w:val="24"/>
        </w:rPr>
        <w:t>Second</w:t>
      </w:r>
      <w:r w:rsidR="00075221" w:rsidRPr="00087CA8">
        <w:rPr>
          <w:szCs w:val="24"/>
        </w:rPr>
        <w:t>ly</w:t>
      </w:r>
      <w:r w:rsidRPr="00096CB6">
        <w:rPr>
          <w:szCs w:val="24"/>
        </w:rPr>
        <w:t xml:space="preserve">, the </w:t>
      </w:r>
      <w:r w:rsidR="008E2C5D" w:rsidRPr="00096CB6">
        <w:rPr>
          <w:szCs w:val="24"/>
        </w:rPr>
        <w:t xml:space="preserve">appellant submitted that the primary judge </w:t>
      </w:r>
      <w:r w:rsidRPr="00096CB6">
        <w:rPr>
          <w:szCs w:val="24"/>
        </w:rPr>
        <w:t xml:space="preserve">was wrong to attribute overwhelming weight to isolated snippets from the Explanatory Statement and </w:t>
      </w:r>
      <w:r w:rsidRPr="00087CA8">
        <w:rPr>
          <w:szCs w:val="24"/>
        </w:rPr>
        <w:t>Statement of Compatibility</w:t>
      </w:r>
      <w:r w:rsidRPr="00096CB6">
        <w:rPr>
          <w:szCs w:val="24"/>
        </w:rPr>
        <w:t xml:space="preserve"> that hinted at a non-binary choice: J</w:t>
      </w:r>
      <w:r w:rsidR="008E2C5D" w:rsidRPr="00096CB6">
        <w:rPr>
          <w:szCs w:val="24"/>
        </w:rPr>
        <w:t> </w:t>
      </w:r>
      <w:r w:rsidRPr="00096CB6">
        <w:rPr>
          <w:szCs w:val="24"/>
        </w:rPr>
        <w:t>[147]</w:t>
      </w:r>
      <w:proofErr w:type="gramStart"/>
      <w:r w:rsidR="00075221">
        <w:t>–</w:t>
      </w:r>
      <w:r w:rsidRPr="00096CB6">
        <w:rPr>
          <w:szCs w:val="24"/>
        </w:rPr>
        <w:t>[</w:t>
      </w:r>
      <w:proofErr w:type="gramEnd"/>
      <w:r w:rsidRPr="00096CB6">
        <w:rPr>
          <w:szCs w:val="24"/>
        </w:rPr>
        <w:t xml:space="preserve">149]. </w:t>
      </w:r>
      <w:r w:rsidR="009852EE">
        <w:rPr>
          <w:szCs w:val="24"/>
        </w:rPr>
        <w:t>For the reasons mentioned above, it is incorrect to say that his Honour focussed on “isolated snippets” from the Explanatory Statement and Statement of Compatibility.</w:t>
      </w:r>
    </w:p>
    <w:p w14:paraId="71DCA582" w14:textId="2380BEE7" w:rsidR="000A769C" w:rsidRPr="00096CB6" w:rsidRDefault="001F4779" w:rsidP="001F4779">
      <w:pPr>
        <w:pStyle w:val="ParaNumbering"/>
        <w:tabs>
          <w:tab w:val="clear" w:pos="720"/>
        </w:tabs>
        <w:rPr>
          <w:szCs w:val="24"/>
        </w:rPr>
      </w:pPr>
      <w:r w:rsidRPr="00087CA8">
        <w:rPr>
          <w:szCs w:val="24"/>
        </w:rPr>
        <w:t>Third</w:t>
      </w:r>
      <w:r w:rsidR="004E36C5" w:rsidRPr="00087CA8">
        <w:rPr>
          <w:szCs w:val="24"/>
        </w:rPr>
        <w:t>ly</w:t>
      </w:r>
      <w:r w:rsidRPr="00096CB6">
        <w:rPr>
          <w:szCs w:val="24"/>
        </w:rPr>
        <w:t xml:space="preserve">, </w:t>
      </w:r>
      <w:r w:rsidR="000A769C" w:rsidRPr="00096CB6">
        <w:rPr>
          <w:szCs w:val="24"/>
        </w:rPr>
        <w:t>the appellant submitted that the primary judge</w:t>
      </w:r>
      <w:r w:rsidRPr="00096CB6">
        <w:rPr>
          <w:szCs w:val="24"/>
        </w:rPr>
        <w:t xml:space="preserve"> wrongly avoided the task of deciding what the Recommendation in fact advised the Minister as to the nature of her powers. </w:t>
      </w:r>
      <w:r w:rsidR="00783499">
        <w:rPr>
          <w:szCs w:val="24"/>
        </w:rPr>
        <w:t xml:space="preserve">This was the same argument that the appellant raised </w:t>
      </w:r>
      <w:r w:rsidR="0014652E">
        <w:rPr>
          <w:szCs w:val="24"/>
        </w:rPr>
        <w:t>as part of</w:t>
      </w:r>
      <w:r w:rsidR="00783499">
        <w:rPr>
          <w:szCs w:val="24"/>
        </w:rPr>
        <w:t xml:space="preserve"> the broader argument</w:t>
      </w:r>
      <w:r w:rsidR="00A62D2B">
        <w:rPr>
          <w:szCs w:val="24"/>
        </w:rPr>
        <w:t>,</w:t>
      </w:r>
      <w:r w:rsidR="00783499">
        <w:rPr>
          <w:szCs w:val="24"/>
        </w:rPr>
        <w:t xml:space="preserve"> in relation to the </w:t>
      </w:r>
      <w:r w:rsidR="005D2E88">
        <w:rPr>
          <w:szCs w:val="24"/>
        </w:rPr>
        <w:t xml:space="preserve">Minister’s </w:t>
      </w:r>
      <w:r w:rsidR="00A62D2B">
        <w:rPr>
          <w:szCs w:val="24"/>
        </w:rPr>
        <w:t xml:space="preserve">alleged </w:t>
      </w:r>
      <w:r w:rsidR="005D2E88">
        <w:rPr>
          <w:szCs w:val="24"/>
        </w:rPr>
        <w:t xml:space="preserve">failure to identify the correct construction of the </w:t>
      </w:r>
      <w:proofErr w:type="gramStart"/>
      <w:r w:rsidR="005D2E88">
        <w:rPr>
          <w:szCs w:val="24"/>
        </w:rPr>
        <w:t>Recommendation</w:t>
      </w:r>
      <w:r w:rsidR="00A62D2B">
        <w:rPr>
          <w:szCs w:val="24"/>
        </w:rPr>
        <w:t xml:space="preserve">, </w:t>
      </w:r>
      <w:r w:rsidR="00783499">
        <w:rPr>
          <w:szCs w:val="24"/>
        </w:rPr>
        <w:t>and</w:t>
      </w:r>
      <w:proofErr w:type="gramEnd"/>
      <w:r w:rsidR="00783499">
        <w:rPr>
          <w:szCs w:val="24"/>
        </w:rPr>
        <w:t xml:space="preserve"> is similarly rejected for the reasons given above.</w:t>
      </w:r>
    </w:p>
    <w:p w14:paraId="2CDD90CD" w14:textId="5A3B14A9" w:rsidR="001F4779" w:rsidRPr="00096CB6" w:rsidRDefault="000A769C" w:rsidP="001F4779">
      <w:pPr>
        <w:pStyle w:val="ParaNumbering"/>
        <w:tabs>
          <w:tab w:val="clear" w:pos="720"/>
        </w:tabs>
        <w:rPr>
          <w:szCs w:val="24"/>
        </w:rPr>
      </w:pPr>
      <w:r w:rsidRPr="00087CA8">
        <w:rPr>
          <w:szCs w:val="24"/>
        </w:rPr>
        <w:t>F</w:t>
      </w:r>
      <w:r w:rsidR="001F4779" w:rsidRPr="00087CA8">
        <w:rPr>
          <w:szCs w:val="24"/>
        </w:rPr>
        <w:t>ourth</w:t>
      </w:r>
      <w:r w:rsidR="004E36C5" w:rsidRPr="00087CA8">
        <w:rPr>
          <w:szCs w:val="24"/>
        </w:rPr>
        <w:t>ly</w:t>
      </w:r>
      <w:r w:rsidR="001F4779" w:rsidRPr="00096CB6">
        <w:rPr>
          <w:szCs w:val="24"/>
        </w:rPr>
        <w:t xml:space="preserve">, </w:t>
      </w:r>
      <w:r w:rsidRPr="00096CB6">
        <w:rPr>
          <w:szCs w:val="24"/>
        </w:rPr>
        <w:t xml:space="preserve">the appellant submitted that the primary judge </w:t>
      </w:r>
      <w:r w:rsidR="00816136" w:rsidRPr="00096CB6">
        <w:rPr>
          <w:szCs w:val="24"/>
        </w:rPr>
        <w:t xml:space="preserve">erred by refusing to apply </w:t>
      </w:r>
      <w:r w:rsidR="00816136" w:rsidRPr="00096CB6">
        <w:rPr>
          <w:i/>
          <w:iCs/>
          <w:szCs w:val="24"/>
        </w:rPr>
        <w:t>Jones v Dunkel</w:t>
      </w:r>
      <w:r w:rsidR="00816136" w:rsidRPr="00096CB6">
        <w:rPr>
          <w:szCs w:val="24"/>
        </w:rPr>
        <w:t xml:space="preserve"> to the inferential reasoning that was required.</w:t>
      </w:r>
      <w:r w:rsidR="00311047">
        <w:rPr>
          <w:szCs w:val="24"/>
        </w:rPr>
        <w:t xml:space="preserve"> This argument is rejected for the reasons given above.</w:t>
      </w:r>
    </w:p>
    <w:p w14:paraId="1D16EC9F" w14:textId="218ACFE6" w:rsidR="00590B50" w:rsidRPr="005562AE" w:rsidRDefault="00590B50" w:rsidP="00087CA8">
      <w:pPr>
        <w:pStyle w:val="Heading2"/>
      </w:pPr>
      <w:bookmarkStart w:id="49" w:name="_Ref193875054"/>
      <w:r w:rsidRPr="005562AE">
        <w:t xml:space="preserve">The </w:t>
      </w:r>
      <w:r w:rsidR="004749CF" w:rsidRPr="005562AE">
        <w:t xml:space="preserve">2024 Amendment </w:t>
      </w:r>
      <w:r w:rsidRPr="005562AE">
        <w:t>Act</w:t>
      </w:r>
      <w:r w:rsidR="00491508">
        <w:t xml:space="preserve"> (Notice of </w:t>
      </w:r>
      <w:r w:rsidR="009C16DA">
        <w:t>c</w:t>
      </w:r>
      <w:r w:rsidR="00491508">
        <w:t>ontention)</w:t>
      </w:r>
      <w:bookmarkEnd w:id="49"/>
    </w:p>
    <w:p w14:paraId="630A1CEC" w14:textId="68FC77C3" w:rsidR="0013434E" w:rsidRPr="005562AE" w:rsidRDefault="00E57C5E" w:rsidP="00805FEE">
      <w:pPr>
        <w:pStyle w:val="ParaNumbering"/>
        <w:tabs>
          <w:tab w:val="clear" w:pos="720"/>
        </w:tabs>
        <w:rPr>
          <w:szCs w:val="24"/>
        </w:rPr>
      </w:pPr>
      <w:r>
        <w:rPr>
          <w:szCs w:val="24"/>
        </w:rPr>
        <w:t>Th</w:t>
      </w:r>
      <w:r w:rsidR="0083291D" w:rsidRPr="005562AE">
        <w:rPr>
          <w:szCs w:val="24"/>
        </w:rPr>
        <w:t>e Minister contend</w:t>
      </w:r>
      <w:r w:rsidR="003E5809" w:rsidRPr="005562AE">
        <w:rPr>
          <w:szCs w:val="24"/>
        </w:rPr>
        <w:t>ed</w:t>
      </w:r>
      <w:r w:rsidR="0083291D" w:rsidRPr="005562AE">
        <w:rPr>
          <w:szCs w:val="24"/>
        </w:rPr>
        <w:t xml:space="preserve"> that if the primary judge erred in his findings on the broad and narrow arguments, his Honour’s decision should nonetheless be affirmed</w:t>
      </w:r>
      <w:r w:rsidR="007F760A">
        <w:rPr>
          <w:szCs w:val="24"/>
        </w:rPr>
        <w:t>, and the Court should find that the 2022 Instrument was valid,</w:t>
      </w:r>
      <w:r w:rsidR="0083291D" w:rsidRPr="005562AE">
        <w:rPr>
          <w:szCs w:val="24"/>
        </w:rPr>
        <w:t xml:space="preserve"> by reason of </w:t>
      </w:r>
      <w:r w:rsidR="000512D5">
        <w:rPr>
          <w:szCs w:val="24"/>
        </w:rPr>
        <w:t>i</w:t>
      </w:r>
      <w:r w:rsidR="0083291D" w:rsidRPr="005562AE">
        <w:rPr>
          <w:szCs w:val="24"/>
        </w:rPr>
        <w:t xml:space="preserve">tem 5 of Sch 1 of the </w:t>
      </w:r>
      <w:r w:rsidR="001C3B00" w:rsidRPr="0083283B">
        <w:rPr>
          <w:i/>
          <w:iCs/>
          <w:szCs w:val="24"/>
        </w:rPr>
        <w:t xml:space="preserve">Autonomous Sanctions Amendment Act 2024 </w:t>
      </w:r>
      <w:r w:rsidR="001C3B00" w:rsidRPr="0083283B">
        <w:rPr>
          <w:szCs w:val="24"/>
        </w:rPr>
        <w:t>(Cth)</w:t>
      </w:r>
      <w:r w:rsidR="001C3B00" w:rsidRPr="005562AE">
        <w:rPr>
          <w:szCs w:val="24"/>
        </w:rPr>
        <w:t xml:space="preserve"> (</w:t>
      </w:r>
      <w:r w:rsidR="0083291D" w:rsidRPr="005562AE">
        <w:rPr>
          <w:b/>
          <w:bCs/>
          <w:szCs w:val="24"/>
        </w:rPr>
        <w:t>2024 Amendment Act</w:t>
      </w:r>
      <w:r w:rsidR="001C3B00" w:rsidRPr="005562AE">
        <w:rPr>
          <w:szCs w:val="24"/>
        </w:rPr>
        <w:t>)</w:t>
      </w:r>
      <w:r w:rsidR="0083291D" w:rsidRPr="005562AE">
        <w:rPr>
          <w:szCs w:val="24"/>
        </w:rPr>
        <w:t>.</w:t>
      </w:r>
      <w:r w:rsidR="00232014" w:rsidRPr="005562AE">
        <w:rPr>
          <w:szCs w:val="24"/>
        </w:rPr>
        <w:t xml:space="preserve"> </w:t>
      </w:r>
      <w:r w:rsidR="00DF3B7E">
        <w:rPr>
          <w:szCs w:val="24"/>
        </w:rPr>
        <w:t>I</w:t>
      </w:r>
      <w:r w:rsidR="00A02EA8">
        <w:rPr>
          <w:szCs w:val="24"/>
        </w:rPr>
        <w:t>t</w:t>
      </w:r>
      <w:r>
        <w:rPr>
          <w:szCs w:val="24"/>
        </w:rPr>
        <w:t xml:space="preserve"> is unnecessary to decide </w:t>
      </w:r>
      <w:r w:rsidR="00A02EA8">
        <w:rPr>
          <w:szCs w:val="24"/>
        </w:rPr>
        <w:t>this issue h</w:t>
      </w:r>
      <w:r w:rsidR="000A495D">
        <w:rPr>
          <w:szCs w:val="24"/>
        </w:rPr>
        <w:t>aving regard to our conclusion that t</w:t>
      </w:r>
      <w:r>
        <w:rPr>
          <w:szCs w:val="24"/>
        </w:rPr>
        <w:t>here was no error in the primary judge’s reasons</w:t>
      </w:r>
      <w:r w:rsidR="00DF3B7E">
        <w:rPr>
          <w:szCs w:val="24"/>
        </w:rPr>
        <w:t xml:space="preserve">. However, in deference to the parties’ submissions, we deal </w:t>
      </w:r>
      <w:r w:rsidR="0044230A">
        <w:rPr>
          <w:szCs w:val="24"/>
        </w:rPr>
        <w:t xml:space="preserve">briefly </w:t>
      </w:r>
      <w:r w:rsidR="00DF3B7E">
        <w:rPr>
          <w:szCs w:val="24"/>
        </w:rPr>
        <w:t xml:space="preserve">with the matters raised in the </w:t>
      </w:r>
      <w:r w:rsidR="009C16DA">
        <w:rPr>
          <w:szCs w:val="24"/>
        </w:rPr>
        <w:t>n</w:t>
      </w:r>
      <w:r w:rsidR="00DF3B7E">
        <w:rPr>
          <w:szCs w:val="24"/>
        </w:rPr>
        <w:t xml:space="preserve">otice of </w:t>
      </w:r>
      <w:r w:rsidR="009C16DA">
        <w:rPr>
          <w:szCs w:val="24"/>
        </w:rPr>
        <w:t>c</w:t>
      </w:r>
      <w:r w:rsidR="00DF3B7E">
        <w:rPr>
          <w:szCs w:val="24"/>
        </w:rPr>
        <w:t>ontention below.</w:t>
      </w:r>
    </w:p>
    <w:p w14:paraId="0912AABE" w14:textId="0275713F" w:rsidR="001761E7" w:rsidRPr="006370A9" w:rsidRDefault="001761E7" w:rsidP="001761E7">
      <w:pPr>
        <w:pStyle w:val="ParaNumbering"/>
        <w:rPr>
          <w:szCs w:val="24"/>
        </w:rPr>
      </w:pPr>
      <w:r w:rsidRPr="006370A9">
        <w:rPr>
          <w:szCs w:val="24"/>
        </w:rPr>
        <w:lastRenderedPageBreak/>
        <w:t xml:space="preserve">The 2024 Amendment Act came into effect on </w:t>
      </w:r>
      <w:r w:rsidR="00572E71" w:rsidRPr="006370A9">
        <w:rPr>
          <w:szCs w:val="24"/>
        </w:rPr>
        <w:t>9 April 2024</w:t>
      </w:r>
      <w:r w:rsidR="00BF3D88" w:rsidRPr="006370A9">
        <w:rPr>
          <w:szCs w:val="24"/>
        </w:rPr>
        <w:t xml:space="preserve">. Schedule 1 </w:t>
      </w:r>
      <w:r w:rsidR="00C9058C" w:rsidRPr="006370A9">
        <w:rPr>
          <w:szCs w:val="24"/>
        </w:rPr>
        <w:t>contains</w:t>
      </w:r>
      <w:r w:rsidR="00BF3D88" w:rsidRPr="006370A9">
        <w:rPr>
          <w:szCs w:val="24"/>
        </w:rPr>
        <w:t xml:space="preserve"> the provisions of the Act that were amended by the 2024 Amendment Act.</w:t>
      </w:r>
    </w:p>
    <w:p w14:paraId="06D2B9D2" w14:textId="56A5360D" w:rsidR="00A37623" w:rsidRPr="005562AE" w:rsidRDefault="00A37623" w:rsidP="00A67C4D">
      <w:pPr>
        <w:pStyle w:val="ParaNumbering"/>
        <w:keepNext/>
        <w:keepLines/>
        <w:tabs>
          <w:tab w:val="clear" w:pos="720"/>
        </w:tabs>
        <w:rPr>
          <w:szCs w:val="24"/>
        </w:rPr>
      </w:pPr>
      <w:r w:rsidRPr="0083283B">
        <w:rPr>
          <w:szCs w:val="24"/>
        </w:rPr>
        <w:t>Item 5</w:t>
      </w:r>
      <w:r w:rsidR="00DD43D8" w:rsidRPr="0083283B">
        <w:rPr>
          <w:szCs w:val="24"/>
        </w:rPr>
        <w:t>(1)</w:t>
      </w:r>
      <w:r w:rsidRPr="0083283B">
        <w:rPr>
          <w:szCs w:val="24"/>
        </w:rPr>
        <w:t xml:space="preserve"> of Sch 1</w:t>
      </w:r>
      <w:r w:rsidR="00701DB7" w:rsidRPr="0083283B">
        <w:rPr>
          <w:szCs w:val="24"/>
        </w:rPr>
        <w:t>, P</w:t>
      </w:r>
      <w:r w:rsidR="00634129">
        <w:rPr>
          <w:szCs w:val="24"/>
        </w:rPr>
        <w:t>t</w:t>
      </w:r>
      <w:r w:rsidR="00701DB7" w:rsidRPr="0083283B">
        <w:rPr>
          <w:szCs w:val="24"/>
        </w:rPr>
        <w:t xml:space="preserve"> 2 (Validation Provisions)</w:t>
      </w:r>
      <w:r w:rsidR="004860BD">
        <w:rPr>
          <w:szCs w:val="24"/>
        </w:rPr>
        <w:t>,</w:t>
      </w:r>
      <w:r w:rsidR="00701DB7">
        <w:rPr>
          <w:szCs w:val="24"/>
        </w:rPr>
        <w:t xml:space="preserve"> </w:t>
      </w:r>
      <w:r w:rsidRPr="005562AE">
        <w:rPr>
          <w:szCs w:val="24"/>
        </w:rPr>
        <w:t>provides:</w:t>
      </w:r>
    </w:p>
    <w:p w14:paraId="6A34B9A1" w14:textId="7064F635" w:rsidR="00E4425D" w:rsidRPr="00087CA8" w:rsidRDefault="005C1C76" w:rsidP="00A67C4D">
      <w:pPr>
        <w:pStyle w:val="Quote1"/>
        <w:keepNext/>
        <w:keepLines/>
        <w:rPr>
          <w:b/>
          <w:bCs/>
        </w:rPr>
      </w:pPr>
      <w:proofErr w:type="gramStart"/>
      <w:r w:rsidRPr="00087CA8">
        <w:rPr>
          <w:b/>
          <w:bCs/>
        </w:rPr>
        <w:t>5</w:t>
      </w:r>
      <w:r w:rsidR="00A812F5">
        <w:rPr>
          <w:b/>
          <w:bCs/>
        </w:rPr>
        <w:t>  </w:t>
      </w:r>
      <w:r w:rsidRPr="00087CA8">
        <w:rPr>
          <w:b/>
          <w:bCs/>
        </w:rPr>
        <w:t>Pre</w:t>
      </w:r>
      <w:proofErr w:type="gramEnd"/>
      <w:r w:rsidRPr="00087CA8">
        <w:rPr>
          <w:b/>
          <w:bCs/>
        </w:rPr>
        <w:t>-commencement of instruments – exercise of discretion</w:t>
      </w:r>
    </w:p>
    <w:p w14:paraId="3D16D26A" w14:textId="19F43A5B" w:rsidR="008E4368" w:rsidRPr="00881F1B" w:rsidRDefault="005C1C76" w:rsidP="00A67C4D">
      <w:pPr>
        <w:pStyle w:val="Quote2"/>
        <w:keepNext/>
        <w:keepLines/>
        <w:ind w:hanging="720"/>
      </w:pPr>
      <w:r w:rsidRPr="00881F1B">
        <w:t>(1)</w:t>
      </w:r>
      <w:r w:rsidRPr="00881F1B">
        <w:tab/>
      </w:r>
      <w:r w:rsidR="008E4368" w:rsidRPr="00881F1B">
        <w:t xml:space="preserve">This item applies to an instrument (whether or not still in force), that was made or purportedly made by the Minister before commencement under regulation 6 or 6A of the </w:t>
      </w:r>
      <w:r w:rsidR="008E4368" w:rsidRPr="00276A43">
        <w:rPr>
          <w:i/>
          <w:iCs/>
        </w:rPr>
        <w:t>Autonomous Sanctions Regulations 2011</w:t>
      </w:r>
      <w:r w:rsidR="008E4368" w:rsidRPr="00881F1B">
        <w:t xml:space="preserve"> (as in force at the time the instrument was made or purportedly made), if the instrument would, apart from this item, be wholly or partly invalid only because the Minister did not consider whether the Minister should exercise the Minister’s discretion to: </w:t>
      </w:r>
    </w:p>
    <w:p w14:paraId="2F92F33E" w14:textId="7846A0CA" w:rsidR="008E4368" w:rsidRPr="00881F1B" w:rsidRDefault="008E4368" w:rsidP="00A67C4D">
      <w:pPr>
        <w:pStyle w:val="Quote3"/>
        <w:keepNext/>
        <w:keepLines/>
      </w:pPr>
      <w:r w:rsidRPr="00881F1B">
        <w:t>(a)</w:t>
      </w:r>
      <w:r w:rsidR="0017258B">
        <w:t>  </w:t>
      </w:r>
      <w:r w:rsidRPr="00881F1B">
        <w:t>designate a person or entity; or</w:t>
      </w:r>
    </w:p>
    <w:p w14:paraId="338A56FC" w14:textId="01A867DC" w:rsidR="008E4368" w:rsidRPr="00881F1B" w:rsidRDefault="008E4368" w:rsidP="00A67C4D">
      <w:pPr>
        <w:pStyle w:val="Quote3"/>
        <w:keepNext/>
        <w:keepLines/>
      </w:pPr>
      <w:r w:rsidRPr="00881F1B">
        <w:t>(b)</w:t>
      </w:r>
      <w:r w:rsidR="0017258B">
        <w:t>  </w:t>
      </w:r>
      <w:r w:rsidRPr="00881F1B">
        <w:t>declare a person; or</w:t>
      </w:r>
    </w:p>
    <w:p w14:paraId="7B4A2BC5" w14:textId="4074D623" w:rsidR="00A37623" w:rsidRPr="00881F1B" w:rsidRDefault="008E4368" w:rsidP="00A67C4D">
      <w:pPr>
        <w:pStyle w:val="Quote3"/>
        <w:keepNext/>
        <w:keepLines/>
      </w:pPr>
      <w:r w:rsidRPr="00881F1B">
        <w:t>(c)</w:t>
      </w:r>
      <w:r w:rsidR="0017258B">
        <w:t>  </w:t>
      </w:r>
      <w:r w:rsidRPr="00881F1B">
        <w:t>designate and declare a person.</w:t>
      </w:r>
    </w:p>
    <w:p w14:paraId="22859D0D" w14:textId="6BD02E73" w:rsidR="00DB4C48" w:rsidRPr="005562AE" w:rsidRDefault="006D1793" w:rsidP="00DB4C48">
      <w:pPr>
        <w:pStyle w:val="ParaNumbering"/>
        <w:tabs>
          <w:tab w:val="clear" w:pos="720"/>
        </w:tabs>
        <w:rPr>
          <w:szCs w:val="24"/>
        </w:rPr>
      </w:pPr>
      <w:r>
        <w:rPr>
          <w:szCs w:val="24"/>
        </w:rPr>
        <w:t>Item 5(2) is not relevant for present purposes. However,</w:t>
      </w:r>
      <w:r w:rsidRPr="0083283B">
        <w:rPr>
          <w:szCs w:val="24"/>
        </w:rPr>
        <w:t xml:space="preserve"> i</w:t>
      </w:r>
      <w:r w:rsidR="00DB4C48" w:rsidRPr="0083283B">
        <w:rPr>
          <w:szCs w:val="24"/>
        </w:rPr>
        <w:t>tem 5(3) of Sch 1</w:t>
      </w:r>
      <w:r w:rsidR="00DB4C48" w:rsidRPr="005562AE">
        <w:rPr>
          <w:szCs w:val="24"/>
        </w:rPr>
        <w:t xml:space="preserve"> provides:</w:t>
      </w:r>
    </w:p>
    <w:p w14:paraId="25C37F38" w14:textId="78FF25C4" w:rsidR="00DB4C48" w:rsidRPr="00881F1B" w:rsidRDefault="00DB4C48" w:rsidP="00087CA8">
      <w:pPr>
        <w:pStyle w:val="Quote1"/>
      </w:pPr>
      <w:r w:rsidRPr="00881F1B">
        <w:t>The instrument is taken for all purposes to be, and to have always been, valid and effective.</w:t>
      </w:r>
    </w:p>
    <w:p w14:paraId="48025071" w14:textId="2C92D968" w:rsidR="009216CD" w:rsidRDefault="009216CD" w:rsidP="00087CA8">
      <w:pPr>
        <w:pStyle w:val="ParaNumbering"/>
      </w:pPr>
      <w:r w:rsidRPr="0083283B">
        <w:t xml:space="preserve">Item 5(4) of Sch 1 </w:t>
      </w:r>
      <w:r>
        <w:t>further provides:</w:t>
      </w:r>
    </w:p>
    <w:p w14:paraId="50FE8413" w14:textId="052641AB" w:rsidR="009216CD" w:rsidRPr="00881F1B" w:rsidRDefault="009216CD" w:rsidP="00087CA8">
      <w:pPr>
        <w:pStyle w:val="Quote1"/>
      </w:pPr>
      <w:r w:rsidRPr="00881F1B">
        <w:t>Anything done, or anything purported to have been done, by a person that would have been wholly or partly invalid except for subitem (3) is taken for all purposes to be valid and to have always been valid, despite any effect that may have on the accrued rights of any person.</w:t>
      </w:r>
    </w:p>
    <w:p w14:paraId="718F5E13" w14:textId="18AB265A" w:rsidR="00D32596" w:rsidRPr="00D12A3C" w:rsidRDefault="00D32596" w:rsidP="00D12A3C">
      <w:pPr>
        <w:pStyle w:val="ParaNumbering"/>
        <w:tabs>
          <w:tab w:val="clear" w:pos="720"/>
        </w:tabs>
        <w:rPr>
          <w:szCs w:val="24"/>
        </w:rPr>
      </w:pPr>
      <w:r w:rsidRPr="005562AE">
        <w:rPr>
          <w:szCs w:val="24"/>
        </w:rPr>
        <w:t>The parties agree</w:t>
      </w:r>
      <w:r w:rsidR="006D1793">
        <w:rPr>
          <w:szCs w:val="24"/>
        </w:rPr>
        <w:t>d</w:t>
      </w:r>
      <w:r w:rsidRPr="005562AE">
        <w:rPr>
          <w:szCs w:val="24"/>
        </w:rPr>
        <w:t xml:space="preserve"> that item 5(3) of Sch 1 of the 2024 Amendment Act only operates to render retrospectively valid and effective an instrument that falls within the scope of item 5(1). The parties were in dispute about the scope of item 5(1) and its application in the present case.</w:t>
      </w:r>
    </w:p>
    <w:p w14:paraId="7CD1D28A" w14:textId="6C78B4E2" w:rsidR="005527C6" w:rsidRPr="00AB172D" w:rsidRDefault="00BD3840" w:rsidP="00AB172D">
      <w:pPr>
        <w:pStyle w:val="ParaNumbering"/>
        <w:rPr>
          <w:szCs w:val="24"/>
        </w:rPr>
      </w:pPr>
      <w:r w:rsidRPr="00AB172D" w:rsidDel="00074A92">
        <w:rPr>
          <w:szCs w:val="24"/>
        </w:rPr>
        <w:t>The Minister submitted that i</w:t>
      </w:r>
      <w:r w:rsidR="005527C6" w:rsidRPr="00AB172D" w:rsidDel="00074A92">
        <w:rPr>
          <w:szCs w:val="24"/>
        </w:rPr>
        <w:t xml:space="preserve">f, contrary to the findings of </w:t>
      </w:r>
      <w:r w:rsidRPr="00AB172D" w:rsidDel="00074A92">
        <w:rPr>
          <w:szCs w:val="24"/>
        </w:rPr>
        <w:t>primary judge</w:t>
      </w:r>
      <w:r w:rsidR="005527C6" w:rsidRPr="00AB172D" w:rsidDel="00074A92">
        <w:rPr>
          <w:szCs w:val="24"/>
        </w:rPr>
        <w:t xml:space="preserve">, the 2022 Instrument </w:t>
      </w:r>
      <w:r w:rsidRPr="00AB172D" w:rsidDel="00074A92">
        <w:rPr>
          <w:szCs w:val="24"/>
        </w:rPr>
        <w:t>was</w:t>
      </w:r>
      <w:r w:rsidR="005527C6" w:rsidRPr="00AB172D" w:rsidDel="00074A92">
        <w:rPr>
          <w:szCs w:val="24"/>
        </w:rPr>
        <w:t xml:space="preserve"> invalid because the Minister failed to consider designation and declaration independently as well as cumulatively, </w:t>
      </w:r>
      <w:r w:rsidR="000512D5" w:rsidDel="00074A92">
        <w:rPr>
          <w:szCs w:val="24"/>
        </w:rPr>
        <w:t>i</w:t>
      </w:r>
      <w:r w:rsidR="005527C6" w:rsidRPr="00AB172D" w:rsidDel="00074A92">
        <w:rPr>
          <w:szCs w:val="24"/>
        </w:rPr>
        <w:t>tem 5(3) of Sch 1 to the 2024 Amendment Act provides that it must be “taken …</w:t>
      </w:r>
      <w:r w:rsidR="00747278" w:rsidDel="00074A92">
        <w:rPr>
          <w:szCs w:val="24"/>
        </w:rPr>
        <w:t xml:space="preserve"> </w:t>
      </w:r>
      <w:r w:rsidR="005527C6" w:rsidRPr="00AB172D" w:rsidDel="00074A92">
        <w:rPr>
          <w:szCs w:val="24"/>
        </w:rPr>
        <w:t>to be … valid and effective”.</w:t>
      </w:r>
    </w:p>
    <w:p w14:paraId="6159DF25" w14:textId="7C2CC6CE" w:rsidR="00E254BB" w:rsidRDefault="00E254BB" w:rsidP="00B85BEA">
      <w:pPr>
        <w:pStyle w:val="ParaNumbering"/>
        <w:tabs>
          <w:tab w:val="clear" w:pos="720"/>
        </w:tabs>
        <w:rPr>
          <w:szCs w:val="24"/>
        </w:rPr>
      </w:pPr>
      <w:r>
        <w:rPr>
          <w:szCs w:val="24"/>
        </w:rPr>
        <w:t>The appellant submitted</w:t>
      </w:r>
      <w:r w:rsidR="00482E29">
        <w:rPr>
          <w:szCs w:val="24"/>
        </w:rPr>
        <w:t xml:space="preserve"> </w:t>
      </w:r>
      <w:r>
        <w:rPr>
          <w:szCs w:val="24"/>
        </w:rPr>
        <w:t>that</w:t>
      </w:r>
      <w:r w:rsidRPr="005562AE">
        <w:rPr>
          <w:szCs w:val="24"/>
        </w:rPr>
        <w:t xml:space="preserve"> item 5(1) of </w:t>
      </w:r>
      <w:r w:rsidR="00650311">
        <w:rPr>
          <w:szCs w:val="24"/>
        </w:rPr>
        <w:t xml:space="preserve">Sch 1 to </w:t>
      </w:r>
      <w:r w:rsidRPr="005562AE">
        <w:rPr>
          <w:szCs w:val="24"/>
        </w:rPr>
        <w:t>the 2024 Amendment Act is not concerned with misunderstandings of the Minister’s powers</w:t>
      </w:r>
      <w:r w:rsidR="005532B4">
        <w:rPr>
          <w:szCs w:val="24"/>
        </w:rPr>
        <w:t>,</w:t>
      </w:r>
      <w:r w:rsidR="007444BA">
        <w:rPr>
          <w:szCs w:val="24"/>
        </w:rPr>
        <w:t xml:space="preserve"> and whether there wa</w:t>
      </w:r>
      <w:r w:rsidR="00186F75">
        <w:rPr>
          <w:szCs w:val="24"/>
        </w:rPr>
        <w:t>s</w:t>
      </w:r>
      <w:r w:rsidR="007444BA">
        <w:rPr>
          <w:szCs w:val="24"/>
        </w:rPr>
        <w:t xml:space="preserve"> a discretion to be exercised in the first </w:t>
      </w:r>
      <w:proofErr w:type="gramStart"/>
      <w:r w:rsidR="007444BA">
        <w:rPr>
          <w:szCs w:val="24"/>
        </w:rPr>
        <w:t>place</w:t>
      </w:r>
      <w:r w:rsidR="003751D5">
        <w:rPr>
          <w:szCs w:val="24"/>
        </w:rPr>
        <w:t>,</w:t>
      </w:r>
      <w:r w:rsidRPr="005562AE">
        <w:rPr>
          <w:szCs w:val="24"/>
        </w:rPr>
        <w:t xml:space="preserve"> but</w:t>
      </w:r>
      <w:proofErr w:type="gramEnd"/>
      <w:r w:rsidRPr="005562AE">
        <w:rPr>
          <w:szCs w:val="24"/>
        </w:rPr>
        <w:t xml:space="preserve"> is instead directed to curing failures to consider whether to exercise particular discretions.</w:t>
      </w:r>
    </w:p>
    <w:p w14:paraId="096766DC" w14:textId="63F343F5" w:rsidR="00882926" w:rsidRPr="006370A9" w:rsidRDefault="00882926" w:rsidP="00A67C4D">
      <w:pPr>
        <w:pStyle w:val="ParaNumbering"/>
        <w:keepNext/>
        <w:keepLines/>
        <w:rPr>
          <w:szCs w:val="24"/>
        </w:rPr>
      </w:pPr>
      <w:r w:rsidRPr="006370A9">
        <w:rPr>
          <w:szCs w:val="24"/>
        </w:rPr>
        <w:lastRenderedPageBreak/>
        <w:t xml:space="preserve">The </w:t>
      </w:r>
      <w:r w:rsidRPr="00087CA8">
        <w:rPr>
          <w:szCs w:val="24"/>
        </w:rPr>
        <w:t xml:space="preserve">Explanatory Memorandum to the </w:t>
      </w:r>
      <w:r w:rsidRPr="00A67C4D">
        <w:rPr>
          <w:i/>
          <w:iCs/>
          <w:szCs w:val="24"/>
        </w:rPr>
        <w:t xml:space="preserve">Autonomous Sanctions Amendment </w:t>
      </w:r>
      <w:r w:rsidRPr="00A67C4D">
        <w:rPr>
          <w:b/>
          <w:bCs/>
          <w:i/>
          <w:iCs/>
          <w:szCs w:val="24"/>
        </w:rPr>
        <w:t>Bill</w:t>
      </w:r>
      <w:r w:rsidRPr="00A67C4D">
        <w:rPr>
          <w:i/>
          <w:iCs/>
          <w:szCs w:val="24"/>
        </w:rPr>
        <w:t xml:space="preserve"> 2024</w:t>
      </w:r>
      <w:r w:rsidR="00EB222F">
        <w:rPr>
          <w:szCs w:val="24"/>
        </w:rPr>
        <w:t xml:space="preserve"> (Cth)</w:t>
      </w:r>
      <w:r w:rsidRPr="006370A9">
        <w:rPr>
          <w:i/>
          <w:iCs/>
          <w:szCs w:val="24"/>
        </w:rPr>
        <w:t xml:space="preserve"> </w:t>
      </w:r>
      <w:r w:rsidRPr="006370A9">
        <w:rPr>
          <w:szCs w:val="24"/>
        </w:rPr>
        <w:t>relevantly states:</w:t>
      </w:r>
    </w:p>
    <w:p w14:paraId="5EE1C981" w14:textId="3BB74A97" w:rsidR="00882926" w:rsidRPr="005D5915" w:rsidRDefault="00882926" w:rsidP="00A67C4D">
      <w:pPr>
        <w:pStyle w:val="Quote1"/>
        <w:keepNext/>
        <w:keepLines/>
      </w:pPr>
      <w:r w:rsidRPr="005D5915">
        <w:t xml:space="preserve">The Autonomous Sanctions Amendment Bill 2024 (the Bill) amends the </w:t>
      </w:r>
      <w:r w:rsidRPr="005D5915">
        <w:rPr>
          <w:i/>
          <w:iCs/>
        </w:rPr>
        <w:t xml:space="preserve">Autonomous Sanctions Act 2011 </w:t>
      </w:r>
      <w:r w:rsidRPr="005D5915">
        <w:t>(the Act) to explicitly confirm that individuals and/or entities can be validly sanctioned based on past conduct or status. The Bill also ensures the validity of sanctions that were made based on past conduct or status. For the avoidance of doubt, the Bill further confirms that sanctions are valid even where it is not explicitly clear that the Minister considered their discretion:</w:t>
      </w:r>
    </w:p>
    <w:p w14:paraId="16FC53ED" w14:textId="2AA18DC8" w:rsidR="00882926" w:rsidRPr="005D5915" w:rsidRDefault="00882926" w:rsidP="00A67C4D">
      <w:pPr>
        <w:pStyle w:val="Quote2"/>
        <w:keepNext/>
        <w:keepLines/>
        <w:ind w:left="1752" w:hanging="312"/>
      </w:pPr>
      <w:r w:rsidRPr="005D5915">
        <w:t>•</w:t>
      </w:r>
      <w:r w:rsidR="00F66099">
        <w:t>  </w:t>
      </w:r>
      <w:r w:rsidR="00B44F06">
        <w:t>  </w:t>
      </w:r>
      <w:r w:rsidRPr="005D5915">
        <w:t xml:space="preserve">to sanction the person/entity at all, where they meet the criteria for imposing sanctions, or </w:t>
      </w:r>
    </w:p>
    <w:p w14:paraId="692C5A73" w14:textId="235B8570" w:rsidR="00882926" w:rsidRPr="005D5915" w:rsidRDefault="00882926" w:rsidP="00A67C4D">
      <w:pPr>
        <w:pStyle w:val="Quote2"/>
        <w:keepNext/>
        <w:keepLines/>
        <w:ind w:left="1752" w:hanging="312"/>
      </w:pPr>
      <w:r w:rsidRPr="005D5915">
        <w:t>•</w:t>
      </w:r>
      <w:r w:rsidR="00F66099">
        <w:t>  </w:t>
      </w:r>
      <w:r w:rsidR="00B44F06">
        <w:t>  </w:t>
      </w:r>
      <w:r w:rsidRPr="005D5915">
        <w:t>to decide whether to only designate a person for targeted financial sanctions or only declare them for travel bans, or both.</w:t>
      </w:r>
    </w:p>
    <w:p w14:paraId="74E3E7FD" w14:textId="02524C62" w:rsidR="00882926" w:rsidRPr="005562AE" w:rsidRDefault="00882926" w:rsidP="00A67C4D">
      <w:pPr>
        <w:pStyle w:val="Quote1"/>
        <w:keepNext/>
        <w:keepLines/>
        <w:rPr>
          <w:szCs w:val="24"/>
        </w:rPr>
      </w:pPr>
      <w:r w:rsidRPr="005562AE">
        <w:rPr>
          <w:szCs w:val="24"/>
        </w:rPr>
        <w:t xml:space="preserve">[Parliament of the Commonwealth of Australia, House of Representatives, </w:t>
      </w:r>
      <w:r w:rsidR="00EB222F">
        <w:rPr>
          <w:szCs w:val="24"/>
        </w:rPr>
        <w:t xml:space="preserve">Explanatory Memorandum, </w:t>
      </w:r>
      <w:r w:rsidRPr="000927BA">
        <w:rPr>
          <w:szCs w:val="24"/>
        </w:rPr>
        <w:t>Bill</w:t>
      </w:r>
      <w:r w:rsidRPr="005562AE">
        <w:rPr>
          <w:i/>
          <w:iCs/>
          <w:szCs w:val="24"/>
        </w:rPr>
        <w:t>,</w:t>
      </w:r>
      <w:r w:rsidRPr="005562AE">
        <w:rPr>
          <w:szCs w:val="24"/>
        </w:rPr>
        <w:t xml:space="preserve"> p 1</w:t>
      </w:r>
      <w:r w:rsidR="00DB4079">
        <w:rPr>
          <w:szCs w:val="24"/>
        </w:rPr>
        <w:t>–</w:t>
      </w:r>
      <w:r>
        <w:rPr>
          <w:szCs w:val="24"/>
        </w:rPr>
        <w:t>2</w:t>
      </w:r>
      <w:r w:rsidRPr="005562AE">
        <w:rPr>
          <w:szCs w:val="24"/>
        </w:rPr>
        <w:t>]</w:t>
      </w:r>
    </w:p>
    <w:p w14:paraId="07FC185C" w14:textId="2A48F3D7" w:rsidR="00325063" w:rsidRPr="00325063" w:rsidRDefault="00F5049D" w:rsidP="00087CA8">
      <w:pPr>
        <w:pStyle w:val="ParaNumbering"/>
        <w:rPr>
          <w:rFonts w:ascii="Calibri" w:hAnsi="Calibri" w:cs="Calibri"/>
        </w:rPr>
      </w:pPr>
      <w:r>
        <w:rPr>
          <w:szCs w:val="24"/>
        </w:rPr>
        <w:t>T</w:t>
      </w:r>
      <w:r w:rsidR="00EB165E">
        <w:rPr>
          <w:szCs w:val="24"/>
        </w:rPr>
        <w:t xml:space="preserve">he extrinsic materials </w:t>
      </w:r>
      <w:r w:rsidR="001C3924">
        <w:rPr>
          <w:szCs w:val="24"/>
        </w:rPr>
        <w:t>noted</w:t>
      </w:r>
      <w:r w:rsidR="00EB165E">
        <w:rPr>
          <w:szCs w:val="24"/>
        </w:rPr>
        <w:t xml:space="preserve"> that the </w:t>
      </w:r>
      <w:r w:rsidR="00EB165E" w:rsidRPr="00374B8C">
        <w:rPr>
          <w:szCs w:val="24"/>
        </w:rPr>
        <w:t>Bill</w:t>
      </w:r>
      <w:r w:rsidR="00EB165E">
        <w:rPr>
          <w:szCs w:val="24"/>
        </w:rPr>
        <w:t xml:space="preserve"> </w:t>
      </w:r>
      <w:r w:rsidR="00CB2E85">
        <w:rPr>
          <w:szCs w:val="24"/>
        </w:rPr>
        <w:t>appeared to respond</w:t>
      </w:r>
      <w:r w:rsidR="00C66552">
        <w:rPr>
          <w:szCs w:val="24"/>
        </w:rPr>
        <w:t xml:space="preserve"> to </w:t>
      </w:r>
      <w:r>
        <w:rPr>
          <w:szCs w:val="24"/>
        </w:rPr>
        <w:t xml:space="preserve">the </w:t>
      </w:r>
      <w:r w:rsidR="00B66927">
        <w:rPr>
          <w:szCs w:val="24"/>
        </w:rPr>
        <w:t>decisions</w:t>
      </w:r>
      <w:r>
        <w:rPr>
          <w:szCs w:val="24"/>
        </w:rPr>
        <w:t xml:space="preserve"> in </w:t>
      </w:r>
      <w:r>
        <w:rPr>
          <w:i/>
          <w:iCs/>
          <w:szCs w:val="24"/>
        </w:rPr>
        <w:t xml:space="preserve">Abramov </w:t>
      </w:r>
      <w:r>
        <w:rPr>
          <w:szCs w:val="24"/>
        </w:rPr>
        <w:t xml:space="preserve">and </w:t>
      </w:r>
      <w:r>
        <w:rPr>
          <w:i/>
          <w:iCs/>
          <w:szCs w:val="24"/>
        </w:rPr>
        <w:t>Deripaska</w:t>
      </w:r>
      <w:r w:rsidR="00B66927">
        <w:rPr>
          <w:szCs w:val="24"/>
        </w:rPr>
        <w:t xml:space="preserve">: </w:t>
      </w:r>
      <w:r w:rsidR="00325063" w:rsidRPr="000927BA">
        <w:rPr>
          <w:szCs w:val="24"/>
        </w:rPr>
        <w:t>Bills Digest No 51</w:t>
      </w:r>
      <w:r w:rsidR="00BC3E6E" w:rsidRPr="000927BA">
        <w:rPr>
          <w:szCs w:val="24"/>
        </w:rPr>
        <w:t>, 2023-2024</w:t>
      </w:r>
      <w:r w:rsidR="00164D45">
        <w:rPr>
          <w:i/>
          <w:iCs/>
          <w:szCs w:val="24"/>
        </w:rPr>
        <w:t>.</w:t>
      </w:r>
    </w:p>
    <w:p w14:paraId="22E39124" w14:textId="0420A2FC" w:rsidR="00F30891" w:rsidRPr="006370A9" w:rsidRDefault="00DA0DAD" w:rsidP="00501C93">
      <w:pPr>
        <w:pStyle w:val="ParaNumbering"/>
        <w:rPr>
          <w:szCs w:val="24"/>
        </w:rPr>
      </w:pPr>
      <w:r w:rsidRPr="006370A9">
        <w:rPr>
          <w:szCs w:val="24"/>
        </w:rPr>
        <w:t>Item 5 of Sch</w:t>
      </w:r>
      <w:r w:rsidR="0077574A" w:rsidRPr="006370A9">
        <w:rPr>
          <w:szCs w:val="24"/>
        </w:rPr>
        <w:t> </w:t>
      </w:r>
      <w:r w:rsidRPr="006370A9">
        <w:rPr>
          <w:szCs w:val="24"/>
        </w:rPr>
        <w:t xml:space="preserve">1 </w:t>
      </w:r>
      <w:r w:rsidR="00DF4877" w:rsidRPr="006370A9">
        <w:rPr>
          <w:szCs w:val="24"/>
        </w:rPr>
        <w:t>confirm</w:t>
      </w:r>
      <w:r w:rsidRPr="006370A9">
        <w:rPr>
          <w:szCs w:val="24"/>
        </w:rPr>
        <w:t>s</w:t>
      </w:r>
      <w:r w:rsidR="00DF4877" w:rsidRPr="006370A9">
        <w:rPr>
          <w:szCs w:val="24"/>
        </w:rPr>
        <w:t xml:space="preserve"> the validity of instruments</w:t>
      </w:r>
      <w:r w:rsidR="005A0015" w:rsidRPr="006370A9">
        <w:rPr>
          <w:szCs w:val="24"/>
        </w:rPr>
        <w:t xml:space="preserve"> in relation to which </w:t>
      </w:r>
      <w:r w:rsidR="0029037F" w:rsidRPr="006370A9">
        <w:rPr>
          <w:szCs w:val="24"/>
        </w:rPr>
        <w:t xml:space="preserve">the Minister </w:t>
      </w:r>
      <w:r w:rsidRPr="006370A9">
        <w:rPr>
          <w:szCs w:val="24"/>
        </w:rPr>
        <w:t>“</w:t>
      </w:r>
      <w:r w:rsidR="0029037F" w:rsidRPr="006370A9">
        <w:rPr>
          <w:szCs w:val="24"/>
        </w:rPr>
        <w:t>did not consider</w:t>
      </w:r>
      <w:r w:rsidRPr="006370A9">
        <w:rPr>
          <w:szCs w:val="24"/>
        </w:rPr>
        <w:t>”</w:t>
      </w:r>
      <w:r w:rsidR="0029037F" w:rsidRPr="006370A9">
        <w:rPr>
          <w:szCs w:val="24"/>
        </w:rPr>
        <w:t xml:space="preserve"> whether the</w:t>
      </w:r>
      <w:r w:rsidR="0011686F" w:rsidRPr="006370A9">
        <w:rPr>
          <w:szCs w:val="24"/>
        </w:rPr>
        <w:t>y</w:t>
      </w:r>
      <w:r w:rsidR="0029037F" w:rsidRPr="006370A9">
        <w:rPr>
          <w:szCs w:val="24"/>
        </w:rPr>
        <w:t xml:space="preserve"> should exercise the</w:t>
      </w:r>
      <w:r w:rsidR="0011686F" w:rsidRPr="006370A9">
        <w:rPr>
          <w:szCs w:val="24"/>
        </w:rPr>
        <w:t>ir</w:t>
      </w:r>
      <w:r w:rsidR="0029037F" w:rsidRPr="006370A9">
        <w:rPr>
          <w:szCs w:val="24"/>
        </w:rPr>
        <w:t xml:space="preserve"> discretion to </w:t>
      </w:r>
      <w:r w:rsidR="00DD69C2" w:rsidRPr="006370A9">
        <w:rPr>
          <w:szCs w:val="24"/>
        </w:rPr>
        <w:t>“</w:t>
      </w:r>
      <w:r w:rsidR="0029037F" w:rsidRPr="006370A9">
        <w:rPr>
          <w:szCs w:val="24"/>
        </w:rPr>
        <w:t xml:space="preserve">designate </w:t>
      </w:r>
      <w:r w:rsidR="006B0D57" w:rsidRPr="006370A9">
        <w:rPr>
          <w:szCs w:val="24"/>
        </w:rPr>
        <w:t>a person or entity</w:t>
      </w:r>
      <w:r w:rsidR="00DD69C2" w:rsidRPr="006370A9">
        <w:rPr>
          <w:szCs w:val="24"/>
        </w:rPr>
        <w:t>”</w:t>
      </w:r>
      <w:r w:rsidR="006B0D57" w:rsidRPr="006370A9">
        <w:rPr>
          <w:szCs w:val="24"/>
        </w:rPr>
        <w:t xml:space="preserve"> </w:t>
      </w:r>
      <w:r w:rsidR="0029037F" w:rsidRPr="006370A9">
        <w:rPr>
          <w:szCs w:val="24"/>
        </w:rPr>
        <w:t xml:space="preserve">or </w:t>
      </w:r>
      <w:r w:rsidR="00DD69C2" w:rsidRPr="006370A9">
        <w:rPr>
          <w:szCs w:val="24"/>
        </w:rPr>
        <w:t>“</w:t>
      </w:r>
      <w:r w:rsidR="0029037F" w:rsidRPr="006370A9">
        <w:rPr>
          <w:szCs w:val="24"/>
        </w:rPr>
        <w:t xml:space="preserve">declare </w:t>
      </w:r>
      <w:r w:rsidR="006B0D57" w:rsidRPr="006370A9">
        <w:rPr>
          <w:szCs w:val="24"/>
        </w:rPr>
        <w:t>a person</w:t>
      </w:r>
      <w:r w:rsidR="00DD69C2" w:rsidRPr="006370A9">
        <w:rPr>
          <w:szCs w:val="24"/>
        </w:rPr>
        <w:t>”</w:t>
      </w:r>
      <w:r w:rsidR="006B0D57" w:rsidRPr="006370A9">
        <w:rPr>
          <w:szCs w:val="24"/>
        </w:rPr>
        <w:t xml:space="preserve">, </w:t>
      </w:r>
      <w:r w:rsidR="0029037F" w:rsidRPr="006370A9">
        <w:rPr>
          <w:szCs w:val="24"/>
        </w:rPr>
        <w:t xml:space="preserve">or </w:t>
      </w:r>
      <w:r w:rsidR="00DD69C2" w:rsidRPr="006370A9">
        <w:rPr>
          <w:szCs w:val="24"/>
        </w:rPr>
        <w:t>“</w:t>
      </w:r>
      <w:r w:rsidR="0029037F" w:rsidRPr="006370A9">
        <w:rPr>
          <w:szCs w:val="24"/>
        </w:rPr>
        <w:t>designate and declare a person</w:t>
      </w:r>
      <w:r w:rsidR="00DD69C2" w:rsidRPr="006370A9">
        <w:rPr>
          <w:szCs w:val="24"/>
        </w:rPr>
        <w:t>”</w:t>
      </w:r>
      <w:r w:rsidR="0029037F" w:rsidRPr="006370A9">
        <w:rPr>
          <w:szCs w:val="24"/>
        </w:rPr>
        <w:t xml:space="preserve">. </w:t>
      </w:r>
      <w:r w:rsidR="00497D3C">
        <w:rPr>
          <w:szCs w:val="24"/>
        </w:rPr>
        <w:t xml:space="preserve">It </w:t>
      </w:r>
      <w:r w:rsidR="00AA7B78" w:rsidRPr="006370A9">
        <w:rPr>
          <w:szCs w:val="24"/>
        </w:rPr>
        <w:t>operates if</w:t>
      </w:r>
      <w:r w:rsidR="0077001C" w:rsidRPr="006370A9">
        <w:rPr>
          <w:szCs w:val="24"/>
        </w:rPr>
        <w:t xml:space="preserve">, apart from </w:t>
      </w:r>
      <w:r w:rsidR="004D222B">
        <w:rPr>
          <w:szCs w:val="24"/>
        </w:rPr>
        <w:t>i</w:t>
      </w:r>
      <w:r w:rsidR="0077001C" w:rsidRPr="006370A9">
        <w:rPr>
          <w:szCs w:val="24"/>
        </w:rPr>
        <w:t>tem 5,</w:t>
      </w:r>
      <w:r w:rsidR="00AA7B78" w:rsidRPr="006370A9">
        <w:rPr>
          <w:szCs w:val="24"/>
        </w:rPr>
        <w:t xml:space="preserve"> the instrument would </w:t>
      </w:r>
      <w:r w:rsidR="0077001C" w:rsidRPr="006370A9">
        <w:rPr>
          <w:szCs w:val="24"/>
        </w:rPr>
        <w:t xml:space="preserve">be wholly or </w:t>
      </w:r>
      <w:r w:rsidR="00E251E1" w:rsidRPr="006370A9">
        <w:rPr>
          <w:szCs w:val="24"/>
        </w:rPr>
        <w:t>partly</w:t>
      </w:r>
      <w:r w:rsidR="0077001C" w:rsidRPr="006370A9">
        <w:rPr>
          <w:szCs w:val="24"/>
        </w:rPr>
        <w:t xml:space="preserve"> invalid “only” because the Minister did not consider whether the</w:t>
      </w:r>
      <w:r w:rsidR="001D07EE" w:rsidRPr="006370A9">
        <w:rPr>
          <w:szCs w:val="24"/>
        </w:rPr>
        <w:t>y</w:t>
      </w:r>
      <w:r w:rsidR="0077001C" w:rsidRPr="006370A9">
        <w:rPr>
          <w:szCs w:val="24"/>
        </w:rPr>
        <w:t xml:space="preserve"> should exercise the</w:t>
      </w:r>
      <w:r w:rsidR="001D07EE" w:rsidRPr="006370A9">
        <w:rPr>
          <w:szCs w:val="24"/>
        </w:rPr>
        <w:t>ir</w:t>
      </w:r>
      <w:r w:rsidR="0077001C" w:rsidRPr="006370A9">
        <w:rPr>
          <w:szCs w:val="24"/>
        </w:rPr>
        <w:t xml:space="preserve"> discretion.</w:t>
      </w:r>
      <w:r w:rsidR="008549DB" w:rsidRPr="006370A9">
        <w:rPr>
          <w:szCs w:val="24"/>
        </w:rPr>
        <w:t xml:space="preserve"> </w:t>
      </w:r>
      <w:r w:rsidR="0036476B">
        <w:rPr>
          <w:szCs w:val="24"/>
        </w:rPr>
        <w:t>Item 5</w:t>
      </w:r>
      <w:r w:rsidR="00497D3C" w:rsidRPr="006370A9">
        <w:rPr>
          <w:szCs w:val="24"/>
        </w:rPr>
        <w:t xml:space="preserve"> </w:t>
      </w:r>
      <w:r w:rsidR="00D263E6" w:rsidRPr="006370A9">
        <w:rPr>
          <w:szCs w:val="24"/>
        </w:rPr>
        <w:t>is not constrained</w:t>
      </w:r>
      <w:r w:rsidR="00927B43" w:rsidRPr="006370A9">
        <w:rPr>
          <w:szCs w:val="24"/>
        </w:rPr>
        <w:t xml:space="preserve"> by any ground or circumstance in which the Minister </w:t>
      </w:r>
      <w:r w:rsidR="00A91999" w:rsidRPr="006370A9">
        <w:rPr>
          <w:szCs w:val="24"/>
        </w:rPr>
        <w:t>“</w:t>
      </w:r>
      <w:r w:rsidR="00927B43" w:rsidRPr="006370A9">
        <w:rPr>
          <w:szCs w:val="24"/>
        </w:rPr>
        <w:t>did not consider</w:t>
      </w:r>
      <w:r w:rsidR="00A91999" w:rsidRPr="006370A9">
        <w:rPr>
          <w:szCs w:val="24"/>
        </w:rPr>
        <w:t>”</w:t>
      </w:r>
      <w:r w:rsidR="00927B43" w:rsidRPr="006370A9">
        <w:rPr>
          <w:szCs w:val="24"/>
        </w:rPr>
        <w:t xml:space="preserve"> whether the</w:t>
      </w:r>
      <w:r w:rsidR="001D07EE" w:rsidRPr="006370A9">
        <w:rPr>
          <w:szCs w:val="24"/>
        </w:rPr>
        <w:t>y</w:t>
      </w:r>
      <w:r w:rsidR="00927B43" w:rsidRPr="006370A9">
        <w:rPr>
          <w:szCs w:val="24"/>
        </w:rPr>
        <w:t xml:space="preserve"> should exercise the</w:t>
      </w:r>
      <w:r w:rsidR="00F57F1F">
        <w:rPr>
          <w:szCs w:val="24"/>
        </w:rPr>
        <w:t>ir</w:t>
      </w:r>
      <w:r w:rsidR="00927B43" w:rsidRPr="006370A9">
        <w:rPr>
          <w:szCs w:val="24"/>
        </w:rPr>
        <w:t xml:space="preserve"> discretion. </w:t>
      </w:r>
      <w:r w:rsidR="00A40A26">
        <w:rPr>
          <w:szCs w:val="24"/>
        </w:rPr>
        <w:t xml:space="preserve">While the wording </w:t>
      </w:r>
      <w:r w:rsidR="00C10B56">
        <w:rPr>
          <w:szCs w:val="24"/>
        </w:rPr>
        <w:t xml:space="preserve">of item 5 is </w:t>
      </w:r>
      <w:r w:rsidR="00A40A26">
        <w:rPr>
          <w:szCs w:val="24"/>
        </w:rPr>
        <w:t xml:space="preserve">somewhat awkward, in our view it is nevertheless </w:t>
      </w:r>
      <w:r w:rsidR="00C10B56">
        <w:rPr>
          <w:szCs w:val="24"/>
        </w:rPr>
        <w:t>broad enough to cover the alternate arguments</w:t>
      </w:r>
      <w:r w:rsidR="00807E7C">
        <w:rPr>
          <w:szCs w:val="24"/>
        </w:rPr>
        <w:t xml:space="preserve"> made by the appellant regarding</w:t>
      </w:r>
      <w:r w:rsidR="00C10B56">
        <w:rPr>
          <w:szCs w:val="24"/>
        </w:rPr>
        <w:t xml:space="preserve"> </w:t>
      </w:r>
      <w:r w:rsidR="00265420">
        <w:rPr>
          <w:szCs w:val="24"/>
        </w:rPr>
        <w:t>the Minister’s</w:t>
      </w:r>
      <w:r w:rsidR="00C10B56">
        <w:rPr>
          <w:szCs w:val="24"/>
        </w:rPr>
        <w:t xml:space="preserve"> alleged misapprehension of </w:t>
      </w:r>
      <w:r w:rsidR="00807E7C">
        <w:rPr>
          <w:szCs w:val="24"/>
        </w:rPr>
        <w:t>her</w:t>
      </w:r>
      <w:r w:rsidR="00C10B56">
        <w:rPr>
          <w:szCs w:val="24"/>
        </w:rPr>
        <w:t xml:space="preserve"> powers, which can </w:t>
      </w:r>
      <w:r w:rsidR="00E57327">
        <w:rPr>
          <w:szCs w:val="24"/>
        </w:rPr>
        <w:t xml:space="preserve">both </w:t>
      </w:r>
      <w:r w:rsidR="00C10B56">
        <w:rPr>
          <w:szCs w:val="24"/>
        </w:rPr>
        <w:t xml:space="preserve">fairly be characterised as arguments to the effect that “the Minister did not consider whether the Minister should exercise the Minister’s discretion”. </w:t>
      </w:r>
      <w:r w:rsidR="00207851" w:rsidRPr="006370A9">
        <w:rPr>
          <w:szCs w:val="24"/>
        </w:rPr>
        <w:t>This construction</w:t>
      </w:r>
      <w:r w:rsidR="00207851">
        <w:rPr>
          <w:szCs w:val="24"/>
        </w:rPr>
        <w:t xml:space="preserve"> of item 5, supported by </w:t>
      </w:r>
      <w:r w:rsidR="00353C51">
        <w:rPr>
          <w:szCs w:val="24"/>
        </w:rPr>
        <w:t>its</w:t>
      </w:r>
      <w:r w:rsidR="00207851">
        <w:rPr>
          <w:szCs w:val="24"/>
        </w:rPr>
        <w:t xml:space="preserve"> context,</w:t>
      </w:r>
      <w:r w:rsidR="00207851" w:rsidRPr="006370A9">
        <w:rPr>
          <w:szCs w:val="24"/>
        </w:rPr>
        <w:t xml:space="preserve"> best achieves the object of the 2024 Amendment Act, which is to validate certain instruments which would otherwise be wholly or partly invalid</w:t>
      </w:r>
      <w:r w:rsidR="00207851">
        <w:rPr>
          <w:szCs w:val="24"/>
        </w:rPr>
        <w:t xml:space="preserve"> </w:t>
      </w:r>
      <w:r w:rsidR="005A2B6E">
        <w:rPr>
          <w:szCs w:val="24"/>
        </w:rPr>
        <w:t>only because the Minister did not consider whether they should exercise their discretion</w:t>
      </w:r>
      <w:r w:rsidR="00207851" w:rsidRPr="006370A9">
        <w:rPr>
          <w:szCs w:val="24"/>
        </w:rPr>
        <w:t xml:space="preserve">. </w:t>
      </w:r>
      <w:r w:rsidR="00807E7C" w:rsidRPr="006370A9">
        <w:rPr>
          <w:szCs w:val="24"/>
        </w:rPr>
        <w:t xml:space="preserve">The word “only” excludes from the operation of item 5 instruments that would be wholly or partly invalid on some ground other than one concerning </w:t>
      </w:r>
      <w:r w:rsidR="00807E7C">
        <w:rPr>
          <w:szCs w:val="24"/>
        </w:rPr>
        <w:t>the Minister’s</w:t>
      </w:r>
      <w:r w:rsidR="00807E7C" w:rsidRPr="006370A9">
        <w:rPr>
          <w:szCs w:val="24"/>
        </w:rPr>
        <w:t xml:space="preserve"> </w:t>
      </w:r>
      <w:r w:rsidR="00807E7C">
        <w:rPr>
          <w:szCs w:val="24"/>
        </w:rPr>
        <w:t xml:space="preserve">failure </w:t>
      </w:r>
      <w:r w:rsidR="00807E7C" w:rsidRPr="006370A9">
        <w:rPr>
          <w:szCs w:val="24"/>
        </w:rPr>
        <w:t>to consider whether to exercise their discretion.</w:t>
      </w:r>
    </w:p>
    <w:p w14:paraId="06D0988E" w14:textId="731950DF" w:rsidR="00A07ED9" w:rsidRPr="005562AE" w:rsidRDefault="00A07ED9" w:rsidP="00A67C4D">
      <w:pPr>
        <w:pStyle w:val="ParaNumbering"/>
        <w:keepNext/>
        <w:keepLines/>
      </w:pPr>
      <w:r>
        <w:lastRenderedPageBreak/>
        <w:t xml:space="preserve">For those reasons, item 5 of Sch 1 of the 2024 Amendment Act would apply to the 2022 </w:t>
      </w:r>
      <w:r w:rsidR="00175F2F">
        <w:t>I</w:t>
      </w:r>
      <w:r>
        <w:t xml:space="preserve">nstrument, if it were found to be </w:t>
      </w:r>
      <w:r w:rsidR="00E61DCE">
        <w:t xml:space="preserve">invalid because the Minister did not appreciate </w:t>
      </w:r>
      <w:r w:rsidR="008A125A">
        <w:t xml:space="preserve">that </w:t>
      </w:r>
      <w:r w:rsidR="00E61DCE">
        <w:t>she had a discretion on either of the narrower or broader arguments regarding the Minister’s alleged misapprehension</w:t>
      </w:r>
      <w:r w:rsidR="00584F22">
        <w:t>.</w:t>
      </w:r>
    </w:p>
    <w:p w14:paraId="3C23F873" w14:textId="50830EBC" w:rsidR="001334E2" w:rsidRPr="001334E2" w:rsidRDefault="001334E2" w:rsidP="00087CA8">
      <w:pPr>
        <w:pStyle w:val="Heading2"/>
      </w:pPr>
      <w:bookmarkStart w:id="50" w:name="_Ref193875055"/>
      <w:r>
        <w:t>Costs</w:t>
      </w:r>
      <w:bookmarkEnd w:id="50"/>
    </w:p>
    <w:p w14:paraId="73F464C9" w14:textId="3DBE319C" w:rsidR="00833F54" w:rsidRDefault="00BF754B" w:rsidP="00781039">
      <w:pPr>
        <w:pStyle w:val="ParaNumbering"/>
      </w:pPr>
      <w:r>
        <w:t xml:space="preserve">The appellant contends that, irrespective of whether the primary judge’s decision was otherwise correct, his Honour erred in ordering the appellant to pay the Minister’s costs. The appellant contends that the exercise of discretion miscarried as it involved an order that the appellant </w:t>
      </w:r>
      <w:r w:rsidR="00833F54">
        <w:t>do something that is forbidden by reg 15 and is not allowed by the Permit dated 7 November 2022</w:t>
      </w:r>
      <w:r w:rsidR="00BB3002">
        <w:t xml:space="preserve"> (which was in force at the time of the primary judge’s orders)</w:t>
      </w:r>
      <w:r w:rsidR="00833F54">
        <w:t>.</w:t>
      </w:r>
    </w:p>
    <w:p w14:paraId="7F3561CD" w14:textId="2D40651D" w:rsidR="00D5012D" w:rsidRDefault="007B69A8" w:rsidP="00BB3002">
      <w:pPr>
        <w:pStyle w:val="ParaNumbering"/>
      </w:pPr>
      <w:r w:rsidRPr="0083283B">
        <w:t>S</w:t>
      </w:r>
      <w:r w:rsidR="005C50A7" w:rsidRPr="0083283B">
        <w:t xml:space="preserve">ection 43 of the </w:t>
      </w:r>
      <w:r w:rsidRPr="00087CA8">
        <w:rPr>
          <w:b/>
          <w:bCs/>
          <w:i/>
          <w:iCs/>
        </w:rPr>
        <w:t>Federal Court</w:t>
      </w:r>
      <w:r w:rsidR="005C50A7" w:rsidRPr="00087CA8">
        <w:rPr>
          <w:b/>
          <w:bCs/>
          <w:i/>
          <w:iCs/>
        </w:rPr>
        <w:t xml:space="preserve"> </w:t>
      </w:r>
      <w:r w:rsidR="000A61A2" w:rsidRPr="00EA14A1">
        <w:rPr>
          <w:i/>
          <w:iCs/>
        </w:rPr>
        <w:t>of Australia</w:t>
      </w:r>
      <w:r w:rsidR="000A61A2">
        <w:rPr>
          <w:b/>
          <w:bCs/>
          <w:i/>
          <w:iCs/>
        </w:rPr>
        <w:t xml:space="preserve"> </w:t>
      </w:r>
      <w:r w:rsidR="005C50A7" w:rsidRPr="00087CA8">
        <w:rPr>
          <w:b/>
          <w:bCs/>
          <w:i/>
          <w:iCs/>
        </w:rPr>
        <w:t>Act</w:t>
      </w:r>
      <w:r w:rsidR="00F01747" w:rsidRPr="0083283B">
        <w:t xml:space="preserve"> </w:t>
      </w:r>
      <w:r w:rsidR="00F01747" w:rsidRPr="0083283B">
        <w:rPr>
          <w:i/>
          <w:iCs/>
        </w:rPr>
        <w:t>197</w:t>
      </w:r>
      <w:r w:rsidR="00BF7359">
        <w:rPr>
          <w:i/>
          <w:iCs/>
        </w:rPr>
        <w:t>6</w:t>
      </w:r>
      <w:r w:rsidR="00F01747" w:rsidRPr="0083283B">
        <w:rPr>
          <w:i/>
          <w:iCs/>
        </w:rPr>
        <w:t xml:space="preserve"> </w:t>
      </w:r>
      <w:r w:rsidR="00F01747" w:rsidRPr="0083283B">
        <w:t>(Cth)</w:t>
      </w:r>
      <w:r w:rsidR="005C50A7" w:rsidRPr="006370A9">
        <w:t xml:space="preserve"> </w:t>
      </w:r>
      <w:r w:rsidRPr="006370A9">
        <w:t>gives</w:t>
      </w:r>
      <w:r w:rsidR="005C50A7" w:rsidRPr="006370A9">
        <w:t xml:space="preserve"> this Court a broad, discretionary power</w:t>
      </w:r>
      <w:r w:rsidRPr="006370A9">
        <w:t xml:space="preserve"> </w:t>
      </w:r>
      <w:r w:rsidR="005C50A7" w:rsidRPr="006370A9">
        <w:t>to award costs</w:t>
      </w:r>
      <w:r w:rsidR="000C058F" w:rsidRPr="006370A9">
        <w:t xml:space="preserve">. </w:t>
      </w:r>
      <w:r w:rsidR="00AA57D7" w:rsidRPr="006370A9">
        <w:t xml:space="preserve">The making of a costs order is separate to compliance and enforcement of the costs order. </w:t>
      </w:r>
      <w:r w:rsidR="000C058F" w:rsidRPr="006370A9">
        <w:t xml:space="preserve">The primary judge’s </w:t>
      </w:r>
      <w:r w:rsidR="009307FC" w:rsidRPr="006370A9">
        <w:t xml:space="preserve">order that the appellant pay the Minister’s costs did not </w:t>
      </w:r>
      <w:r w:rsidR="00C869BF" w:rsidRPr="006370A9">
        <w:t xml:space="preserve">place the appellant in contravention of the Act or the Regulations. </w:t>
      </w:r>
      <w:r w:rsidR="00C31CE0" w:rsidRPr="006370A9">
        <w:t>The appellant was not</w:t>
      </w:r>
      <w:r w:rsidR="00AA57D7" w:rsidRPr="006370A9">
        <w:t xml:space="preserve">, however, </w:t>
      </w:r>
      <w:r w:rsidR="00C31CE0" w:rsidRPr="006370A9">
        <w:t xml:space="preserve">able to comply with the costs order under the terms of the Permit dated 7 November 2022 and </w:t>
      </w:r>
      <w:r w:rsidR="00671E09" w:rsidRPr="006370A9">
        <w:t xml:space="preserve">compliance was further </w:t>
      </w:r>
      <w:r w:rsidR="007C6079" w:rsidRPr="006370A9">
        <w:t xml:space="preserve">prohibited by </w:t>
      </w:r>
      <w:r w:rsidR="00C869BF" w:rsidRPr="006370A9">
        <w:t>reg 15</w:t>
      </w:r>
      <w:r w:rsidR="00C26968" w:rsidRPr="006370A9">
        <w:t xml:space="preserve">. </w:t>
      </w:r>
      <w:r w:rsidR="00B320D2" w:rsidRPr="006370A9">
        <w:t xml:space="preserve">The prohibition on compliance with </w:t>
      </w:r>
      <w:r w:rsidR="00B27D11" w:rsidRPr="006370A9">
        <w:t>a</w:t>
      </w:r>
      <w:r w:rsidR="00B320D2" w:rsidRPr="006370A9">
        <w:t xml:space="preserve"> costs order </w:t>
      </w:r>
      <w:r w:rsidR="000F73FD" w:rsidRPr="006370A9">
        <w:t>does</w:t>
      </w:r>
      <w:r w:rsidR="00B320D2" w:rsidRPr="006370A9">
        <w:t xml:space="preserve"> not, however, curtail </w:t>
      </w:r>
      <w:r w:rsidR="00BB3002" w:rsidRPr="006370A9">
        <w:t>the Court’s power under s 43 of the Federal Court Act to make a costs order.</w:t>
      </w:r>
    </w:p>
    <w:p w14:paraId="52374EDC" w14:textId="1A73C4CE" w:rsidR="00BB3002" w:rsidRPr="006370A9" w:rsidRDefault="00167C6A" w:rsidP="00BB3002">
      <w:pPr>
        <w:pStyle w:val="ParaNumbering"/>
      </w:pPr>
      <w:proofErr w:type="gramStart"/>
      <w:r w:rsidRPr="00167C6A">
        <w:t>A costs</w:t>
      </w:r>
      <w:proofErr w:type="gramEnd"/>
      <w:r w:rsidRPr="00167C6A">
        <w:t xml:space="preserve"> order merely establishes a liability for costs still to be quantified. It is not known when that may occur and whether the prohibition caused by reg 15 will still be in place. It may well be that the appellant is not prevented from complying with the costs order at some time in the reasonable or foreseeable future, and there is accordingly nothing futile in making such a costs order. Indeed, that the appellant seeks to set the costs order aside suggests that it is not futile</w:t>
      </w:r>
      <w:r>
        <w:t xml:space="preserve">. </w:t>
      </w:r>
      <w:r w:rsidR="00F24C7E" w:rsidRPr="006370A9">
        <w:t>In our view, there was no miscarriage of the discretion to award costs in this case.</w:t>
      </w:r>
    </w:p>
    <w:p w14:paraId="639F395C" w14:textId="3919C81B" w:rsidR="00FF4CC7" w:rsidRDefault="00FF4CC7" w:rsidP="00A67C4D">
      <w:pPr>
        <w:pStyle w:val="Heading1"/>
        <w:keepLines/>
      </w:pPr>
      <w:bookmarkStart w:id="51" w:name="_Ref193875056"/>
      <w:r>
        <w:lastRenderedPageBreak/>
        <w:t>CONCLUSION</w:t>
      </w:r>
      <w:bookmarkEnd w:id="51"/>
    </w:p>
    <w:p w14:paraId="6BD142EF" w14:textId="6651E04F" w:rsidR="00FF4CC7" w:rsidRDefault="009D4B1B" w:rsidP="00A67C4D">
      <w:pPr>
        <w:pStyle w:val="ParaNumbering"/>
        <w:keepNext/>
        <w:keepLines/>
      </w:pPr>
      <w:r>
        <w:t xml:space="preserve">For </w:t>
      </w:r>
      <w:r w:rsidR="00D570A9">
        <w:t>those reasons</w:t>
      </w:r>
      <w:r>
        <w:t xml:space="preserve">, </w:t>
      </w:r>
      <w:r w:rsidR="00D570A9">
        <w:t xml:space="preserve">we would dismiss </w:t>
      </w:r>
      <w:r>
        <w:t xml:space="preserve">the appeal. </w:t>
      </w:r>
      <w:r w:rsidR="00D570A9" w:rsidRPr="00B6715F">
        <w:t xml:space="preserve">There is no apparent reason why costs should not follow the </w:t>
      </w:r>
      <w:proofErr w:type="gramStart"/>
      <w:r w:rsidR="00D570A9" w:rsidRPr="00B6715F">
        <w:t>event</w:t>
      </w:r>
      <w:proofErr w:type="gramEnd"/>
      <w:r w:rsidR="00B80D63">
        <w:t xml:space="preserve"> and </w:t>
      </w:r>
      <w:r w:rsidR="00976A8C">
        <w:t xml:space="preserve">the Minister should </w:t>
      </w:r>
      <w:r w:rsidR="003C2223">
        <w:t>have their costs of and incidental to the appeal.</w:t>
      </w:r>
    </w:p>
    <w:p w14:paraId="403F11D0" w14:textId="77777777" w:rsidR="006370A9" w:rsidRDefault="006370A9" w:rsidP="00A67C4D">
      <w:pPr>
        <w:pStyle w:val="BodyText"/>
        <w:keepNext/>
        <w:keepLines/>
      </w:pPr>
      <w:bookmarkStart w:id="52" w:name="Certification"/>
    </w:p>
    <w:tbl>
      <w:tblPr>
        <w:tblW w:w="0" w:type="auto"/>
        <w:tblLook w:val="04A0" w:firstRow="1" w:lastRow="0" w:firstColumn="1" w:lastColumn="0" w:noHBand="0" w:noVBand="1"/>
      </w:tblPr>
      <w:tblGrid>
        <w:gridCol w:w="3794"/>
      </w:tblGrid>
      <w:tr w:rsidR="006370A9" w:rsidRPr="006370A9" w14:paraId="308DD1B7" w14:textId="77777777">
        <w:tc>
          <w:tcPr>
            <w:tcW w:w="3794" w:type="dxa"/>
            <w:shd w:val="clear" w:color="auto" w:fill="auto"/>
          </w:tcPr>
          <w:p w14:paraId="4E9B22AB" w14:textId="37A0DBBB" w:rsidR="006370A9" w:rsidRPr="006370A9" w:rsidRDefault="006370A9" w:rsidP="00A67C4D">
            <w:pPr>
              <w:pStyle w:val="Normal1linespace"/>
              <w:keepNext/>
              <w:keepLines/>
            </w:pPr>
            <w:r w:rsidRPr="006370A9">
              <w:t xml:space="preserve">I certify that the preceding </w:t>
            </w:r>
            <w:bookmarkStart w:id="53" w:name="NumberWord"/>
            <w:r w:rsidR="00FD7447">
              <w:t>one hundred and fifty-six</w:t>
            </w:r>
            <w:bookmarkEnd w:id="53"/>
            <w:r w:rsidRPr="006370A9">
              <w:t xml:space="preserve"> (</w:t>
            </w:r>
            <w:bookmarkStart w:id="54" w:name="NumberNumeral"/>
            <w:r w:rsidR="00FD7447">
              <w:t>156</w:t>
            </w:r>
            <w:bookmarkEnd w:id="54"/>
            <w:r w:rsidRPr="006370A9">
              <w:t xml:space="preserve">) numbered </w:t>
            </w:r>
            <w:bookmarkStart w:id="55" w:name="CertPara"/>
            <w:r w:rsidR="00FD7447">
              <w:t>paragraphs are</w:t>
            </w:r>
            <w:bookmarkEnd w:id="55"/>
            <w:r w:rsidRPr="006370A9">
              <w:t xml:space="preserve"> a true copy of the Reasons for Judgment of </w:t>
            </w:r>
            <w:bookmarkStart w:id="56" w:name="bkHonourable"/>
            <w:r w:rsidRPr="006370A9">
              <w:t xml:space="preserve">the Honourable </w:t>
            </w:r>
            <w:bookmarkStart w:id="57" w:name="Justice"/>
            <w:bookmarkEnd w:id="56"/>
            <w:r w:rsidR="00FD7447">
              <w:t xml:space="preserve">Justices </w:t>
            </w:r>
            <w:proofErr w:type="spellStart"/>
            <w:r w:rsidR="00FD7447">
              <w:t>Wigney</w:t>
            </w:r>
            <w:proofErr w:type="spellEnd"/>
            <w:r w:rsidR="00FD7447">
              <w:t xml:space="preserve">, Stewart and </w:t>
            </w:r>
            <w:proofErr w:type="spellStart"/>
            <w:r w:rsidR="00FD7447">
              <w:t>Neskovcin</w:t>
            </w:r>
            <w:bookmarkEnd w:id="57"/>
            <w:proofErr w:type="spellEnd"/>
            <w:r w:rsidRPr="006370A9">
              <w:t>.</w:t>
            </w:r>
          </w:p>
        </w:tc>
      </w:tr>
    </w:tbl>
    <w:p w14:paraId="4BB319EB" w14:textId="77777777" w:rsidR="006370A9" w:rsidRDefault="006370A9" w:rsidP="00A67C4D">
      <w:pPr>
        <w:pStyle w:val="BodyText"/>
        <w:keepNext/>
        <w:keepLines/>
      </w:pPr>
    </w:p>
    <w:p w14:paraId="30F62E4E" w14:textId="77777777" w:rsidR="006370A9" w:rsidRDefault="006370A9" w:rsidP="00A67C4D">
      <w:pPr>
        <w:pStyle w:val="BodyText"/>
        <w:keepNext/>
        <w:keepLines/>
      </w:pPr>
    </w:p>
    <w:p w14:paraId="6F5B2952" w14:textId="58113236" w:rsidR="006370A9" w:rsidRDefault="006370A9" w:rsidP="00A67C4D">
      <w:pPr>
        <w:pStyle w:val="BodyText"/>
        <w:keepNext/>
        <w:keepLines/>
      </w:pPr>
    </w:p>
    <w:p w14:paraId="174D1777" w14:textId="11CBA98E" w:rsidR="006370A9" w:rsidRDefault="006370A9" w:rsidP="00A67C4D">
      <w:pPr>
        <w:pStyle w:val="BodyText"/>
        <w:keepNext/>
        <w:keepLines/>
      </w:pPr>
      <w:r>
        <w:t>Associate:</w:t>
      </w:r>
      <w:r w:rsidR="002D3A57">
        <w:t xml:space="preserve"> </w:t>
      </w:r>
    </w:p>
    <w:p w14:paraId="038A00A2" w14:textId="77777777" w:rsidR="006370A9" w:rsidRDefault="006370A9" w:rsidP="00A67C4D">
      <w:pPr>
        <w:pStyle w:val="BodyText"/>
        <w:keepNext/>
        <w:keepLines/>
      </w:pPr>
    </w:p>
    <w:p w14:paraId="6046F681" w14:textId="783F4DC7" w:rsidR="006370A9" w:rsidRDefault="006370A9" w:rsidP="00A67C4D">
      <w:pPr>
        <w:pStyle w:val="BodyText"/>
        <w:keepNext/>
        <w:keepLines/>
        <w:tabs>
          <w:tab w:val="left" w:pos="1134"/>
        </w:tabs>
      </w:pPr>
      <w:r>
        <w:t>Dated:</w:t>
      </w:r>
      <w:r>
        <w:tab/>
      </w:r>
      <w:bookmarkStart w:id="58" w:name="CertifyDated"/>
      <w:r w:rsidR="002D3A57">
        <w:t>27 March 2025</w:t>
      </w:r>
      <w:bookmarkEnd w:id="58"/>
    </w:p>
    <w:p w14:paraId="1D6BA0C9" w14:textId="77777777" w:rsidR="006370A9" w:rsidRDefault="006370A9" w:rsidP="00A67C4D">
      <w:pPr>
        <w:pStyle w:val="BodyText"/>
        <w:keepNext/>
        <w:keepLines/>
      </w:pPr>
    </w:p>
    <w:bookmarkEnd w:id="52"/>
    <w:p w14:paraId="00AE7805" w14:textId="77777777" w:rsidR="006370A9" w:rsidRDefault="006370A9" w:rsidP="00A67C4D">
      <w:pPr>
        <w:pStyle w:val="BodyText"/>
        <w:keepNext/>
        <w:keepLines/>
      </w:pPr>
    </w:p>
    <w:sectPr w:rsidR="006370A9" w:rsidSect="00E77422">
      <w:headerReference w:type="even" r:id="rId24"/>
      <w:headerReference w:type="default" r:id="rId25"/>
      <w:footerReference w:type="default" r:id="rId26"/>
      <w:headerReference w:type="first" r:id="rId27"/>
      <w:footerReference w:type="first" r:id="rId2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2C33F" w14:textId="77777777" w:rsidR="00387561" w:rsidRDefault="00387561">
      <w:pPr>
        <w:spacing w:line="20" w:lineRule="exact"/>
      </w:pPr>
    </w:p>
    <w:p w14:paraId="1F8941CC" w14:textId="77777777" w:rsidR="00387561" w:rsidRDefault="00387561"/>
    <w:p w14:paraId="6FADF6E3" w14:textId="77777777" w:rsidR="00387561" w:rsidRDefault="00387561"/>
  </w:endnote>
  <w:endnote w:type="continuationSeparator" w:id="0">
    <w:p w14:paraId="1E184B18" w14:textId="77777777" w:rsidR="00387561" w:rsidRDefault="00387561">
      <w:r>
        <w:t xml:space="preserve"> </w:t>
      </w:r>
    </w:p>
    <w:p w14:paraId="25059F6D" w14:textId="77777777" w:rsidR="00387561" w:rsidRDefault="00387561"/>
    <w:p w14:paraId="63C1EBEB" w14:textId="77777777" w:rsidR="00387561" w:rsidRDefault="00387561"/>
  </w:endnote>
  <w:endnote w:type="continuationNotice" w:id="1">
    <w:p w14:paraId="70BA9A52" w14:textId="77777777" w:rsidR="00387561" w:rsidRDefault="00387561">
      <w:r>
        <w:t xml:space="preserve"> </w:t>
      </w:r>
    </w:p>
    <w:p w14:paraId="41BF3626" w14:textId="77777777" w:rsidR="00387561" w:rsidRDefault="00387561"/>
    <w:p w14:paraId="5F8D1B1B" w14:textId="77777777" w:rsidR="00387561" w:rsidRDefault="00387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AB6D9" w14:textId="77777777" w:rsidR="00E86956" w:rsidRDefault="00E86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399C" w14:textId="7897A982"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0EAB0C43" wp14:editId="53022AE7">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614842" id="Straight Connecto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5E37E5">
          <w:rPr>
            <w:bCs/>
            <w:sz w:val="18"/>
            <w:szCs w:val="18"/>
          </w:rPr>
          <w:t>Deripaska v Minister for Foreign Affairs [2025] FCAFC 36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2E580" w14:textId="7DE03559" w:rsidR="00395B24" w:rsidRPr="00A436E8" w:rsidRDefault="00395B24" w:rsidP="00A436E8">
    <w:pPr>
      <w:pStyle w:val="Footer"/>
      <w:jc w:val="center"/>
      <w:rPr>
        <w:sz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6A4D8" w14:textId="69C160E1"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1534B21E" wp14:editId="21A1E658">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53F925" id="Straight Connector 6"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dataBinding w:prefixMappings="xmlns:ns0='http://schemas.globalmacros.com/FCA'" w:xpath="/ns0:root[1]/ns0:Name[1]" w:storeItemID="{687E7CCB-4AA5-44E7-B148-17BA2B6F57C0}"/>
        <w:text w:multiLine="1"/>
      </w:sdtPr>
      <w:sdtEndPr/>
      <w:sdtContent>
        <w:r w:rsidR="005E37E5">
          <w:rPr>
            <w:bCs/>
            <w:sz w:val="18"/>
            <w:szCs w:val="18"/>
          </w:rPr>
          <w:t>Deripaska v Minister for Foreign Affairs [2025] FCAFC 36</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proofErr w:type="spellStart"/>
    <w:r>
      <w:rPr>
        <w:bCs/>
        <w:sz w:val="20"/>
      </w:rPr>
      <w:t>i</w:t>
    </w:r>
    <w:proofErr w:type="spellEnd"/>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555E" w14:textId="4797868F"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5B0E6F58" wp14:editId="53D277B5">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0E4740"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dataBinding w:prefixMappings="xmlns:ns0='http://schemas.globalmacros.com/FCA'" w:xpath="/ns0:root[1]/ns0:Name[1]" w:storeItemID="{687E7CCB-4AA5-44E7-B148-17BA2B6F57C0}"/>
        <w:text w:multiLine="1"/>
      </w:sdtPr>
      <w:sdtEndPr/>
      <w:sdtContent>
        <w:r w:rsidR="005E37E5">
          <w:rPr>
            <w:bCs/>
            <w:sz w:val="18"/>
            <w:szCs w:val="18"/>
          </w:rPr>
          <w:t>Deripaska v Minister for Foreign Affairs [2025] FCAFC 36</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proofErr w:type="spellStart"/>
    <w:r>
      <w:rPr>
        <w:bCs/>
        <w:sz w:val="20"/>
      </w:rPr>
      <w:t>i</w:t>
    </w:r>
    <w:proofErr w:type="spellEnd"/>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7DCEA" w14:textId="4C7FB9F3"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37AA27B3" wp14:editId="15C1C703">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E33E9"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5E37E5">
          <w:rPr>
            <w:bCs/>
            <w:sz w:val="18"/>
            <w:szCs w:val="18"/>
          </w:rPr>
          <w:t>Deripaska v Minister for Foreign Affairs [2025] FCAFC 36</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BBD59" w14:textId="1BABFA80"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45FC856C" wp14:editId="03975715">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F28C9"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sidR="005E37E5">
          <w:rPr>
            <w:bCs/>
            <w:sz w:val="18"/>
            <w:szCs w:val="18"/>
          </w:rPr>
          <w:t>Deripaska v Minister for Foreign Affairs [2025] FCAFC 36</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ADD94" w14:textId="77777777" w:rsidR="00387561" w:rsidRDefault="00387561"/>
  </w:footnote>
  <w:footnote w:type="continuationSeparator" w:id="0">
    <w:p w14:paraId="25C4075D" w14:textId="77777777" w:rsidR="00387561" w:rsidRDefault="00387561">
      <w:r>
        <w:continuationSeparator/>
      </w:r>
    </w:p>
    <w:p w14:paraId="6C5B53F3" w14:textId="77777777" w:rsidR="00387561" w:rsidRDefault="00387561"/>
    <w:p w14:paraId="06B070F7" w14:textId="77777777" w:rsidR="00387561" w:rsidRDefault="00387561"/>
  </w:footnote>
  <w:footnote w:type="continuationNotice" w:id="1">
    <w:p w14:paraId="7046F0C5" w14:textId="77777777" w:rsidR="00387561" w:rsidRDefault="003875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5306" w14:textId="77777777" w:rsidR="00E86956" w:rsidRDefault="00E86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1B02" w14:textId="77777777" w:rsidR="00E86956" w:rsidRDefault="00E86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1D2B7" w14:textId="77777777" w:rsidR="00E86956" w:rsidRDefault="00E869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81AE"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E96BE"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54ABB"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FE0A"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F2A42"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8A2E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CCABE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D8B5E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9BD76F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5"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6"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7"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8"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13"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7"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8" w15:restartNumberingAfterBreak="0">
    <w:nsid w:val="29AE3DD1"/>
    <w:multiLevelType w:val="singleLevel"/>
    <w:tmpl w:val="479C9A96"/>
    <w:lvl w:ilvl="0">
      <w:start w:val="1"/>
      <w:numFmt w:val="decimal"/>
      <w:lvlRestart w:val="0"/>
      <w:pStyle w:val="ParaNumbering"/>
      <w:lvlText w:val="%1"/>
      <w:lvlJc w:val="left"/>
      <w:pPr>
        <w:tabs>
          <w:tab w:val="num" w:pos="720"/>
        </w:tabs>
        <w:ind w:left="0" w:hanging="720"/>
      </w:pPr>
      <w:rPr>
        <w:rFonts w:hint="default"/>
        <w:i w:val="0"/>
        <w:iCs w:val="0"/>
        <w:sz w:val="20"/>
      </w:rPr>
    </w:lvl>
  </w:abstractNum>
  <w:abstractNum w:abstractNumId="19"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1"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3" w15:restartNumberingAfterBreak="0">
    <w:nsid w:val="494817A7"/>
    <w:multiLevelType w:val="multilevel"/>
    <w:tmpl w:val="0F0EC90E"/>
    <w:numStyleLink w:val="FCListNo"/>
  </w:abstractNum>
  <w:abstractNum w:abstractNumId="24"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89857556">
    <w:abstractNumId w:val="18"/>
  </w:num>
  <w:num w:numId="2" w16cid:durableId="1916935382">
    <w:abstractNumId w:val="13"/>
  </w:num>
  <w:num w:numId="3" w16cid:durableId="2036536598">
    <w:abstractNumId w:val="11"/>
  </w:num>
  <w:num w:numId="4" w16cid:durableId="1380781412">
    <w:abstractNumId w:val="10"/>
  </w:num>
  <w:num w:numId="5" w16cid:durableId="1048186967">
    <w:abstractNumId w:val="9"/>
  </w:num>
  <w:num w:numId="6" w16cid:durableId="1891991157">
    <w:abstractNumId w:val="8"/>
  </w:num>
  <w:num w:numId="7" w16cid:durableId="465046151">
    <w:abstractNumId w:val="12"/>
  </w:num>
  <w:num w:numId="8" w16cid:durableId="2031448497">
    <w:abstractNumId w:val="7"/>
  </w:num>
  <w:num w:numId="9" w16cid:durableId="1998998953">
    <w:abstractNumId w:val="6"/>
  </w:num>
  <w:num w:numId="10" w16cid:durableId="176891129">
    <w:abstractNumId w:val="5"/>
  </w:num>
  <w:num w:numId="11" w16cid:durableId="506746220">
    <w:abstractNumId w:val="4"/>
  </w:num>
  <w:num w:numId="12" w16cid:durableId="45955029">
    <w:abstractNumId w:val="26"/>
  </w:num>
  <w:num w:numId="13" w16cid:durableId="252708425">
    <w:abstractNumId w:val="24"/>
  </w:num>
  <w:num w:numId="14" w16cid:durableId="2100633326">
    <w:abstractNumId w:val="25"/>
  </w:num>
  <w:num w:numId="15" w16cid:durableId="1773933925">
    <w:abstractNumId w:val="28"/>
  </w:num>
  <w:num w:numId="16" w16cid:durableId="527645899">
    <w:abstractNumId w:val="17"/>
  </w:num>
  <w:num w:numId="17" w16cid:durableId="120267876">
    <w:abstractNumId w:val="27"/>
  </w:num>
  <w:num w:numId="18" w16cid:durableId="1374574243">
    <w:abstractNumId w:val="15"/>
  </w:num>
  <w:num w:numId="19" w16cid:durableId="657348185">
    <w:abstractNumId w:val="22"/>
  </w:num>
  <w:num w:numId="20" w16cid:durableId="1955017147">
    <w:abstractNumId w:val="19"/>
  </w:num>
  <w:num w:numId="21" w16cid:durableId="615910588">
    <w:abstractNumId w:val="20"/>
  </w:num>
  <w:num w:numId="22" w16cid:durableId="2031373324">
    <w:abstractNumId w:val="23"/>
  </w:num>
  <w:num w:numId="23" w16cid:durableId="348877071">
    <w:abstractNumId w:val="14"/>
  </w:num>
  <w:num w:numId="24" w16cid:durableId="1818379752">
    <w:abstractNumId w:val="14"/>
  </w:num>
  <w:num w:numId="25" w16cid:durableId="975523684">
    <w:abstractNumId w:val="16"/>
  </w:num>
  <w:num w:numId="26" w16cid:durableId="1805997716">
    <w:abstractNumId w:val="21"/>
  </w:num>
  <w:num w:numId="27" w16cid:durableId="2119329858">
    <w:abstractNumId w:val="21"/>
  </w:num>
  <w:num w:numId="28" w16cid:durableId="1743528426">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9436213">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502254">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5920799">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8664247">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6743824">
    <w:abstractNumId w:val="1"/>
  </w:num>
  <w:num w:numId="34" w16cid:durableId="1008219052">
    <w:abstractNumId w:val="18"/>
  </w:num>
  <w:num w:numId="35" w16cid:durableId="1409380946">
    <w:abstractNumId w:val="18"/>
  </w:num>
  <w:num w:numId="36" w16cid:durableId="645472279">
    <w:abstractNumId w:val="0"/>
  </w:num>
  <w:num w:numId="37" w16cid:durableId="1560483869">
    <w:abstractNumId w:val="3"/>
  </w:num>
  <w:num w:numId="38" w16cid:durableId="1473451165">
    <w:abstractNumId w:val="2"/>
  </w:num>
  <w:num w:numId="39" w16cid:durableId="1550873517">
    <w:abstractNumId w:val="18"/>
  </w:num>
  <w:num w:numId="40" w16cid:durableId="1562791878">
    <w:abstractNumId w:val="18"/>
  </w:num>
  <w:num w:numId="41" w16cid:durableId="1190951247">
    <w:abstractNumId w:val="18"/>
  </w:num>
  <w:num w:numId="42" w16cid:durableId="1976594155">
    <w:abstractNumId w:val="18"/>
  </w:num>
  <w:num w:numId="43" w16cid:durableId="1184518122">
    <w:abstractNumId w:val="18"/>
  </w:num>
  <w:num w:numId="44" w16cid:durableId="1349915833">
    <w:abstractNumId w:val="18"/>
  </w:num>
  <w:num w:numId="45" w16cid:durableId="1983853345">
    <w:abstractNumId w:val="18"/>
  </w:num>
  <w:num w:numId="46" w16cid:durableId="1793132183">
    <w:abstractNumId w:val="18"/>
  </w:num>
  <w:num w:numId="47" w16cid:durableId="869952476">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00569417">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9" w16cid:durableId="1252273926">
    <w:abstractNumId w:val="18"/>
  </w:num>
  <w:num w:numId="50" w16cid:durableId="117303091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ealText" w:val="Deripaska v Minister for Foreign Affairs [2024] FCA 62"/>
    <w:docVar w:name="Appellant" w:val="OLEG VLADIMIROVICH DERIPASKA"/>
    <w:docVar w:name="CounselParties" w:val="Appell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oA Appeal Division"/>
    <w:docVar w:name="DocCreated" w:val="True"/>
    <w:docVar w:name="FileNumbers" w:val="WAD 41 of 2024"/>
    <w:docVar w:name="Initiators" w:val="(and another named in the Schedule)"/>
    <w:docVar w:name="Judgdate" w:val="##"/>
    <w:docVar w:name="Judge" w:val="Wigney, Stewart and Neskovcin"/>
    <w:docVar w:name="JudgeType" w:val="Justices"/>
    <w:docVar w:name="lstEntryList" w:val="-1"/>
    <w:docVar w:name="myEntryList" w:val="Counsel for the Appellant=S B Lloyd SC, C C Porter, and D A Ward|Solicitor for the Appellant=Pragma Lawyers|Counsel for the Respondent=P Herzfeld SC, B Lim, and E Dunlop|Solicitor for the Respondent=Australian Government Solicitor"/>
    <w:docVar w:name="NSD" w:val="NSD "/>
    <w:docVar w:name="NumApps" w:val="1"/>
    <w:docVar w:name="NumApps_" w:val="1"/>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FOREIGN AFFAIRS"/>
    <w:docVar w:name="ResState" w:val="Western Australia"/>
    <w:docVar w:name="SubArea" w:val="(none)"/>
    <w:docVar w:name="Template" w:val="Judgment"/>
  </w:docVars>
  <w:rsids>
    <w:rsidRoot w:val="009971DC"/>
    <w:rsid w:val="0000013A"/>
    <w:rsid w:val="00000747"/>
    <w:rsid w:val="00001629"/>
    <w:rsid w:val="0000189A"/>
    <w:rsid w:val="00002152"/>
    <w:rsid w:val="000022B1"/>
    <w:rsid w:val="000023C6"/>
    <w:rsid w:val="00002F69"/>
    <w:rsid w:val="000032A6"/>
    <w:rsid w:val="0000386A"/>
    <w:rsid w:val="00003D28"/>
    <w:rsid w:val="000045EE"/>
    <w:rsid w:val="00004F38"/>
    <w:rsid w:val="00005242"/>
    <w:rsid w:val="0000622F"/>
    <w:rsid w:val="0001046A"/>
    <w:rsid w:val="00010A26"/>
    <w:rsid w:val="00011167"/>
    <w:rsid w:val="000115C5"/>
    <w:rsid w:val="00011760"/>
    <w:rsid w:val="00011992"/>
    <w:rsid w:val="000125CB"/>
    <w:rsid w:val="00012760"/>
    <w:rsid w:val="00012EE9"/>
    <w:rsid w:val="00013672"/>
    <w:rsid w:val="00014486"/>
    <w:rsid w:val="0001469E"/>
    <w:rsid w:val="00014738"/>
    <w:rsid w:val="0001518F"/>
    <w:rsid w:val="00015993"/>
    <w:rsid w:val="000160F9"/>
    <w:rsid w:val="00016488"/>
    <w:rsid w:val="00020138"/>
    <w:rsid w:val="00020E24"/>
    <w:rsid w:val="000211CA"/>
    <w:rsid w:val="00021228"/>
    <w:rsid w:val="000212D7"/>
    <w:rsid w:val="000213DB"/>
    <w:rsid w:val="000216DB"/>
    <w:rsid w:val="00021B15"/>
    <w:rsid w:val="00021CAC"/>
    <w:rsid w:val="00021CCB"/>
    <w:rsid w:val="00022289"/>
    <w:rsid w:val="00022576"/>
    <w:rsid w:val="000237E9"/>
    <w:rsid w:val="00023BCE"/>
    <w:rsid w:val="00023E21"/>
    <w:rsid w:val="00023F20"/>
    <w:rsid w:val="00024091"/>
    <w:rsid w:val="0002487D"/>
    <w:rsid w:val="00025603"/>
    <w:rsid w:val="00025784"/>
    <w:rsid w:val="00025828"/>
    <w:rsid w:val="00026B3D"/>
    <w:rsid w:val="00026D19"/>
    <w:rsid w:val="0002734E"/>
    <w:rsid w:val="00027398"/>
    <w:rsid w:val="0002748B"/>
    <w:rsid w:val="00027602"/>
    <w:rsid w:val="00027AAF"/>
    <w:rsid w:val="00027D8C"/>
    <w:rsid w:val="00027FFA"/>
    <w:rsid w:val="0003140C"/>
    <w:rsid w:val="00031C4A"/>
    <w:rsid w:val="0003201A"/>
    <w:rsid w:val="0003207A"/>
    <w:rsid w:val="000327E3"/>
    <w:rsid w:val="00032ABA"/>
    <w:rsid w:val="00032DCE"/>
    <w:rsid w:val="00032F9F"/>
    <w:rsid w:val="000334F1"/>
    <w:rsid w:val="00033860"/>
    <w:rsid w:val="00034394"/>
    <w:rsid w:val="000347C5"/>
    <w:rsid w:val="0003488E"/>
    <w:rsid w:val="00034E38"/>
    <w:rsid w:val="0003502E"/>
    <w:rsid w:val="00035A5C"/>
    <w:rsid w:val="00035A5D"/>
    <w:rsid w:val="00035ED3"/>
    <w:rsid w:val="0003617B"/>
    <w:rsid w:val="0003627C"/>
    <w:rsid w:val="00037372"/>
    <w:rsid w:val="0003793E"/>
    <w:rsid w:val="00037F1A"/>
    <w:rsid w:val="0004017E"/>
    <w:rsid w:val="00040227"/>
    <w:rsid w:val="00040342"/>
    <w:rsid w:val="000404FB"/>
    <w:rsid w:val="00041641"/>
    <w:rsid w:val="000418EC"/>
    <w:rsid w:val="00041A58"/>
    <w:rsid w:val="00041A6C"/>
    <w:rsid w:val="00041C07"/>
    <w:rsid w:val="0004200A"/>
    <w:rsid w:val="00042FD1"/>
    <w:rsid w:val="00043286"/>
    <w:rsid w:val="00043652"/>
    <w:rsid w:val="0004368C"/>
    <w:rsid w:val="00043C8C"/>
    <w:rsid w:val="00043F94"/>
    <w:rsid w:val="000448BF"/>
    <w:rsid w:val="00044C54"/>
    <w:rsid w:val="00045864"/>
    <w:rsid w:val="00045BB7"/>
    <w:rsid w:val="00045CDB"/>
    <w:rsid w:val="00045FED"/>
    <w:rsid w:val="00046621"/>
    <w:rsid w:val="000469AC"/>
    <w:rsid w:val="000471D7"/>
    <w:rsid w:val="00047699"/>
    <w:rsid w:val="0004778E"/>
    <w:rsid w:val="00047D19"/>
    <w:rsid w:val="00050CC7"/>
    <w:rsid w:val="000512D5"/>
    <w:rsid w:val="0005133A"/>
    <w:rsid w:val="0005141D"/>
    <w:rsid w:val="00052520"/>
    <w:rsid w:val="00052F54"/>
    <w:rsid w:val="00053574"/>
    <w:rsid w:val="0005410B"/>
    <w:rsid w:val="0005448E"/>
    <w:rsid w:val="00054A16"/>
    <w:rsid w:val="00054BF9"/>
    <w:rsid w:val="00054F59"/>
    <w:rsid w:val="00055719"/>
    <w:rsid w:val="00055A69"/>
    <w:rsid w:val="0005641B"/>
    <w:rsid w:val="0005668D"/>
    <w:rsid w:val="00056C3E"/>
    <w:rsid w:val="00056CBA"/>
    <w:rsid w:val="00057235"/>
    <w:rsid w:val="00057ADA"/>
    <w:rsid w:val="00060038"/>
    <w:rsid w:val="00060325"/>
    <w:rsid w:val="000605CC"/>
    <w:rsid w:val="000605DD"/>
    <w:rsid w:val="000608C8"/>
    <w:rsid w:val="00060D0F"/>
    <w:rsid w:val="0006108C"/>
    <w:rsid w:val="000611B2"/>
    <w:rsid w:val="000616A2"/>
    <w:rsid w:val="0006196A"/>
    <w:rsid w:val="00061BA9"/>
    <w:rsid w:val="00062779"/>
    <w:rsid w:val="0006281B"/>
    <w:rsid w:val="00062A01"/>
    <w:rsid w:val="00062FD6"/>
    <w:rsid w:val="000632AB"/>
    <w:rsid w:val="000634EB"/>
    <w:rsid w:val="00063D82"/>
    <w:rsid w:val="00064160"/>
    <w:rsid w:val="00065059"/>
    <w:rsid w:val="000650F0"/>
    <w:rsid w:val="00065411"/>
    <w:rsid w:val="00065466"/>
    <w:rsid w:val="00065CD6"/>
    <w:rsid w:val="00065F65"/>
    <w:rsid w:val="00066112"/>
    <w:rsid w:val="00067158"/>
    <w:rsid w:val="00067C6A"/>
    <w:rsid w:val="0007028C"/>
    <w:rsid w:val="000708D3"/>
    <w:rsid w:val="000710E6"/>
    <w:rsid w:val="0007124D"/>
    <w:rsid w:val="00071484"/>
    <w:rsid w:val="00071697"/>
    <w:rsid w:val="000716D7"/>
    <w:rsid w:val="00071D9E"/>
    <w:rsid w:val="00071FB3"/>
    <w:rsid w:val="00072392"/>
    <w:rsid w:val="000726AB"/>
    <w:rsid w:val="00072805"/>
    <w:rsid w:val="00072AE7"/>
    <w:rsid w:val="00072BA0"/>
    <w:rsid w:val="00072D83"/>
    <w:rsid w:val="00072D86"/>
    <w:rsid w:val="0007321A"/>
    <w:rsid w:val="000741AD"/>
    <w:rsid w:val="0007426C"/>
    <w:rsid w:val="00074A92"/>
    <w:rsid w:val="00075221"/>
    <w:rsid w:val="000759B6"/>
    <w:rsid w:val="00075FC3"/>
    <w:rsid w:val="0007627E"/>
    <w:rsid w:val="0007649E"/>
    <w:rsid w:val="000768FC"/>
    <w:rsid w:val="00077768"/>
    <w:rsid w:val="00077B6D"/>
    <w:rsid w:val="00080615"/>
    <w:rsid w:val="00080FE9"/>
    <w:rsid w:val="00081207"/>
    <w:rsid w:val="00081497"/>
    <w:rsid w:val="000818C4"/>
    <w:rsid w:val="00081CE5"/>
    <w:rsid w:val="00081D25"/>
    <w:rsid w:val="00081D5D"/>
    <w:rsid w:val="00081E11"/>
    <w:rsid w:val="00082210"/>
    <w:rsid w:val="000831EC"/>
    <w:rsid w:val="00083703"/>
    <w:rsid w:val="00083DB2"/>
    <w:rsid w:val="00084126"/>
    <w:rsid w:val="00084412"/>
    <w:rsid w:val="000845D6"/>
    <w:rsid w:val="00084672"/>
    <w:rsid w:val="000848DB"/>
    <w:rsid w:val="00084CE2"/>
    <w:rsid w:val="00085255"/>
    <w:rsid w:val="000853BF"/>
    <w:rsid w:val="0008574D"/>
    <w:rsid w:val="00085B15"/>
    <w:rsid w:val="00085F7B"/>
    <w:rsid w:val="000866FB"/>
    <w:rsid w:val="000869B8"/>
    <w:rsid w:val="00086AF8"/>
    <w:rsid w:val="000870F8"/>
    <w:rsid w:val="00087810"/>
    <w:rsid w:val="00087CA8"/>
    <w:rsid w:val="00090464"/>
    <w:rsid w:val="0009084C"/>
    <w:rsid w:val="00091ECA"/>
    <w:rsid w:val="000922E8"/>
    <w:rsid w:val="000927BA"/>
    <w:rsid w:val="0009287A"/>
    <w:rsid w:val="00092B8E"/>
    <w:rsid w:val="0009303B"/>
    <w:rsid w:val="00093C14"/>
    <w:rsid w:val="00094C5D"/>
    <w:rsid w:val="00095137"/>
    <w:rsid w:val="00096639"/>
    <w:rsid w:val="0009680E"/>
    <w:rsid w:val="00096B6A"/>
    <w:rsid w:val="00096CB6"/>
    <w:rsid w:val="0009741D"/>
    <w:rsid w:val="00097D50"/>
    <w:rsid w:val="000A01E5"/>
    <w:rsid w:val="000A03C6"/>
    <w:rsid w:val="000A0982"/>
    <w:rsid w:val="000A0CAF"/>
    <w:rsid w:val="000A1758"/>
    <w:rsid w:val="000A1858"/>
    <w:rsid w:val="000A18F9"/>
    <w:rsid w:val="000A199B"/>
    <w:rsid w:val="000A1F24"/>
    <w:rsid w:val="000A21D1"/>
    <w:rsid w:val="000A2E76"/>
    <w:rsid w:val="000A2F7C"/>
    <w:rsid w:val="000A2F8D"/>
    <w:rsid w:val="000A30A7"/>
    <w:rsid w:val="000A357E"/>
    <w:rsid w:val="000A3E93"/>
    <w:rsid w:val="000A41D3"/>
    <w:rsid w:val="000A45BD"/>
    <w:rsid w:val="000A4807"/>
    <w:rsid w:val="000A4841"/>
    <w:rsid w:val="000A495D"/>
    <w:rsid w:val="000A4B1F"/>
    <w:rsid w:val="000A4BE4"/>
    <w:rsid w:val="000A4FF8"/>
    <w:rsid w:val="000A580F"/>
    <w:rsid w:val="000A592B"/>
    <w:rsid w:val="000A5949"/>
    <w:rsid w:val="000A5BA7"/>
    <w:rsid w:val="000A61A2"/>
    <w:rsid w:val="000A6A6F"/>
    <w:rsid w:val="000A6C37"/>
    <w:rsid w:val="000A769C"/>
    <w:rsid w:val="000B0B8D"/>
    <w:rsid w:val="000B10FF"/>
    <w:rsid w:val="000B1F6B"/>
    <w:rsid w:val="000B203C"/>
    <w:rsid w:val="000B23C2"/>
    <w:rsid w:val="000B3B3D"/>
    <w:rsid w:val="000B40C4"/>
    <w:rsid w:val="000B56A4"/>
    <w:rsid w:val="000B5F0A"/>
    <w:rsid w:val="000B6D86"/>
    <w:rsid w:val="000B6D8F"/>
    <w:rsid w:val="000B7103"/>
    <w:rsid w:val="000B7542"/>
    <w:rsid w:val="000B7B1A"/>
    <w:rsid w:val="000B7B36"/>
    <w:rsid w:val="000B7F38"/>
    <w:rsid w:val="000C01CF"/>
    <w:rsid w:val="000C023E"/>
    <w:rsid w:val="000C0311"/>
    <w:rsid w:val="000C058F"/>
    <w:rsid w:val="000C0692"/>
    <w:rsid w:val="000C14E1"/>
    <w:rsid w:val="000C15C1"/>
    <w:rsid w:val="000C1D0A"/>
    <w:rsid w:val="000C2BC6"/>
    <w:rsid w:val="000C37E9"/>
    <w:rsid w:val="000C403F"/>
    <w:rsid w:val="000C405D"/>
    <w:rsid w:val="000C4646"/>
    <w:rsid w:val="000C46F9"/>
    <w:rsid w:val="000C4D91"/>
    <w:rsid w:val="000C5056"/>
    <w:rsid w:val="000C5195"/>
    <w:rsid w:val="000C5E44"/>
    <w:rsid w:val="000C61DC"/>
    <w:rsid w:val="000C62EF"/>
    <w:rsid w:val="000C69E2"/>
    <w:rsid w:val="000C6CAC"/>
    <w:rsid w:val="000C70B3"/>
    <w:rsid w:val="000C7387"/>
    <w:rsid w:val="000C76E6"/>
    <w:rsid w:val="000C76E7"/>
    <w:rsid w:val="000D0BD0"/>
    <w:rsid w:val="000D0E68"/>
    <w:rsid w:val="000D0FBC"/>
    <w:rsid w:val="000D1638"/>
    <w:rsid w:val="000D1CC6"/>
    <w:rsid w:val="000D2137"/>
    <w:rsid w:val="000D272D"/>
    <w:rsid w:val="000D29DA"/>
    <w:rsid w:val="000D2DEB"/>
    <w:rsid w:val="000D3B22"/>
    <w:rsid w:val="000D3DF7"/>
    <w:rsid w:val="000D3FD2"/>
    <w:rsid w:val="000D4181"/>
    <w:rsid w:val="000D451C"/>
    <w:rsid w:val="000D47A9"/>
    <w:rsid w:val="000D4A9A"/>
    <w:rsid w:val="000D4B2E"/>
    <w:rsid w:val="000D4FD0"/>
    <w:rsid w:val="000D5321"/>
    <w:rsid w:val="000D5346"/>
    <w:rsid w:val="000D57AF"/>
    <w:rsid w:val="000D68D4"/>
    <w:rsid w:val="000D6A25"/>
    <w:rsid w:val="000D70B2"/>
    <w:rsid w:val="000D7223"/>
    <w:rsid w:val="000D773C"/>
    <w:rsid w:val="000E063F"/>
    <w:rsid w:val="000E127D"/>
    <w:rsid w:val="000E148E"/>
    <w:rsid w:val="000E1930"/>
    <w:rsid w:val="000E29B9"/>
    <w:rsid w:val="000E2AF0"/>
    <w:rsid w:val="000E2D4D"/>
    <w:rsid w:val="000E2DA2"/>
    <w:rsid w:val="000E3B8F"/>
    <w:rsid w:val="000E3CA8"/>
    <w:rsid w:val="000E3F4B"/>
    <w:rsid w:val="000E3FC8"/>
    <w:rsid w:val="000E4377"/>
    <w:rsid w:val="000E48B5"/>
    <w:rsid w:val="000E5659"/>
    <w:rsid w:val="000E6171"/>
    <w:rsid w:val="000E623B"/>
    <w:rsid w:val="000E6557"/>
    <w:rsid w:val="000E6E30"/>
    <w:rsid w:val="000E6EE6"/>
    <w:rsid w:val="000E7ACB"/>
    <w:rsid w:val="000E7BAE"/>
    <w:rsid w:val="000F00AA"/>
    <w:rsid w:val="000F02C7"/>
    <w:rsid w:val="000F035A"/>
    <w:rsid w:val="000F076F"/>
    <w:rsid w:val="000F0F5A"/>
    <w:rsid w:val="000F10D2"/>
    <w:rsid w:val="000F133D"/>
    <w:rsid w:val="000F1F9F"/>
    <w:rsid w:val="000F29C9"/>
    <w:rsid w:val="000F36EA"/>
    <w:rsid w:val="000F3AFA"/>
    <w:rsid w:val="000F41C3"/>
    <w:rsid w:val="000F4A5B"/>
    <w:rsid w:val="000F4A75"/>
    <w:rsid w:val="000F4AB8"/>
    <w:rsid w:val="000F4BD1"/>
    <w:rsid w:val="000F53FB"/>
    <w:rsid w:val="000F56D4"/>
    <w:rsid w:val="000F625D"/>
    <w:rsid w:val="000F66F4"/>
    <w:rsid w:val="000F689E"/>
    <w:rsid w:val="000F6C28"/>
    <w:rsid w:val="000F6F26"/>
    <w:rsid w:val="000F6FA6"/>
    <w:rsid w:val="000F73FD"/>
    <w:rsid w:val="00100179"/>
    <w:rsid w:val="0010023D"/>
    <w:rsid w:val="00100593"/>
    <w:rsid w:val="0010093E"/>
    <w:rsid w:val="00101A12"/>
    <w:rsid w:val="00102264"/>
    <w:rsid w:val="00103441"/>
    <w:rsid w:val="00103899"/>
    <w:rsid w:val="00103C7F"/>
    <w:rsid w:val="00103C9B"/>
    <w:rsid w:val="00104AC8"/>
    <w:rsid w:val="00104C8B"/>
    <w:rsid w:val="001050F5"/>
    <w:rsid w:val="00105209"/>
    <w:rsid w:val="0010536B"/>
    <w:rsid w:val="001055C6"/>
    <w:rsid w:val="00105FD3"/>
    <w:rsid w:val="0010618E"/>
    <w:rsid w:val="00107003"/>
    <w:rsid w:val="001073F4"/>
    <w:rsid w:val="00107662"/>
    <w:rsid w:val="00107C8C"/>
    <w:rsid w:val="00107D3B"/>
    <w:rsid w:val="0011127A"/>
    <w:rsid w:val="0011145C"/>
    <w:rsid w:val="00111B3E"/>
    <w:rsid w:val="00111B98"/>
    <w:rsid w:val="0011210A"/>
    <w:rsid w:val="00112146"/>
    <w:rsid w:val="001128AF"/>
    <w:rsid w:val="001128BD"/>
    <w:rsid w:val="00112B55"/>
    <w:rsid w:val="00112C17"/>
    <w:rsid w:val="00112D4E"/>
    <w:rsid w:val="0011352C"/>
    <w:rsid w:val="001136FA"/>
    <w:rsid w:val="00113E7A"/>
    <w:rsid w:val="0011419D"/>
    <w:rsid w:val="001141B1"/>
    <w:rsid w:val="00114226"/>
    <w:rsid w:val="0011454E"/>
    <w:rsid w:val="00114B02"/>
    <w:rsid w:val="00115283"/>
    <w:rsid w:val="0011576D"/>
    <w:rsid w:val="00115894"/>
    <w:rsid w:val="0011686F"/>
    <w:rsid w:val="001169A8"/>
    <w:rsid w:val="0011745E"/>
    <w:rsid w:val="001179FE"/>
    <w:rsid w:val="00120062"/>
    <w:rsid w:val="001204CF"/>
    <w:rsid w:val="001209C0"/>
    <w:rsid w:val="00120A97"/>
    <w:rsid w:val="00120E67"/>
    <w:rsid w:val="0012107F"/>
    <w:rsid w:val="00121606"/>
    <w:rsid w:val="00121C89"/>
    <w:rsid w:val="001226C0"/>
    <w:rsid w:val="0012287A"/>
    <w:rsid w:val="00122934"/>
    <w:rsid w:val="00122EA8"/>
    <w:rsid w:val="00123E1B"/>
    <w:rsid w:val="001248CB"/>
    <w:rsid w:val="00124EE3"/>
    <w:rsid w:val="001255C7"/>
    <w:rsid w:val="00125F2A"/>
    <w:rsid w:val="00126CFA"/>
    <w:rsid w:val="00126EC8"/>
    <w:rsid w:val="0012731C"/>
    <w:rsid w:val="001276C3"/>
    <w:rsid w:val="00127F64"/>
    <w:rsid w:val="00130431"/>
    <w:rsid w:val="001305E8"/>
    <w:rsid w:val="0013150B"/>
    <w:rsid w:val="00131719"/>
    <w:rsid w:val="00131FE4"/>
    <w:rsid w:val="00132054"/>
    <w:rsid w:val="00132182"/>
    <w:rsid w:val="001333B5"/>
    <w:rsid w:val="001334E2"/>
    <w:rsid w:val="001339DC"/>
    <w:rsid w:val="00133EFC"/>
    <w:rsid w:val="0013434E"/>
    <w:rsid w:val="001344C1"/>
    <w:rsid w:val="00134964"/>
    <w:rsid w:val="00134F28"/>
    <w:rsid w:val="001351B9"/>
    <w:rsid w:val="00135CC6"/>
    <w:rsid w:val="00136057"/>
    <w:rsid w:val="0013654B"/>
    <w:rsid w:val="00136642"/>
    <w:rsid w:val="00137ABE"/>
    <w:rsid w:val="00140759"/>
    <w:rsid w:val="00140861"/>
    <w:rsid w:val="00141570"/>
    <w:rsid w:val="001421E0"/>
    <w:rsid w:val="001428B2"/>
    <w:rsid w:val="0014292C"/>
    <w:rsid w:val="001430CF"/>
    <w:rsid w:val="00143478"/>
    <w:rsid w:val="00143495"/>
    <w:rsid w:val="001434B4"/>
    <w:rsid w:val="00143705"/>
    <w:rsid w:val="00143E09"/>
    <w:rsid w:val="00144380"/>
    <w:rsid w:val="00144C9E"/>
    <w:rsid w:val="00144DA5"/>
    <w:rsid w:val="00144DD9"/>
    <w:rsid w:val="001456F8"/>
    <w:rsid w:val="0014600D"/>
    <w:rsid w:val="0014652E"/>
    <w:rsid w:val="00146E63"/>
    <w:rsid w:val="00147559"/>
    <w:rsid w:val="00150618"/>
    <w:rsid w:val="00150FF4"/>
    <w:rsid w:val="00151011"/>
    <w:rsid w:val="001510CA"/>
    <w:rsid w:val="00152405"/>
    <w:rsid w:val="001528BB"/>
    <w:rsid w:val="001529F2"/>
    <w:rsid w:val="00152C20"/>
    <w:rsid w:val="001537C8"/>
    <w:rsid w:val="00153DF2"/>
    <w:rsid w:val="00154B46"/>
    <w:rsid w:val="00154BBB"/>
    <w:rsid w:val="00154C7F"/>
    <w:rsid w:val="00154FD8"/>
    <w:rsid w:val="00155CD2"/>
    <w:rsid w:val="00156747"/>
    <w:rsid w:val="001568B1"/>
    <w:rsid w:val="00156DC8"/>
    <w:rsid w:val="00157052"/>
    <w:rsid w:val="00157513"/>
    <w:rsid w:val="0015765C"/>
    <w:rsid w:val="00157841"/>
    <w:rsid w:val="00157A85"/>
    <w:rsid w:val="00160E15"/>
    <w:rsid w:val="0016123C"/>
    <w:rsid w:val="001617E3"/>
    <w:rsid w:val="00161814"/>
    <w:rsid w:val="00161C40"/>
    <w:rsid w:val="00161C87"/>
    <w:rsid w:val="00161D6F"/>
    <w:rsid w:val="00162807"/>
    <w:rsid w:val="00162951"/>
    <w:rsid w:val="00162A0C"/>
    <w:rsid w:val="001632B9"/>
    <w:rsid w:val="0016348B"/>
    <w:rsid w:val="001638A1"/>
    <w:rsid w:val="00163A10"/>
    <w:rsid w:val="00163EF8"/>
    <w:rsid w:val="001640C9"/>
    <w:rsid w:val="001641B5"/>
    <w:rsid w:val="00164430"/>
    <w:rsid w:val="00164D45"/>
    <w:rsid w:val="0016504D"/>
    <w:rsid w:val="00165EAD"/>
    <w:rsid w:val="0016753D"/>
    <w:rsid w:val="0016771D"/>
    <w:rsid w:val="00167A34"/>
    <w:rsid w:val="00167C6A"/>
    <w:rsid w:val="001710F4"/>
    <w:rsid w:val="00171592"/>
    <w:rsid w:val="0017258B"/>
    <w:rsid w:val="001727A4"/>
    <w:rsid w:val="00172FD1"/>
    <w:rsid w:val="001733BA"/>
    <w:rsid w:val="0017376C"/>
    <w:rsid w:val="001738AB"/>
    <w:rsid w:val="001743B8"/>
    <w:rsid w:val="00174486"/>
    <w:rsid w:val="001747CF"/>
    <w:rsid w:val="00175F2F"/>
    <w:rsid w:val="001761E7"/>
    <w:rsid w:val="001761ED"/>
    <w:rsid w:val="001765E0"/>
    <w:rsid w:val="00176F9B"/>
    <w:rsid w:val="00177759"/>
    <w:rsid w:val="0018089A"/>
    <w:rsid w:val="00180BB3"/>
    <w:rsid w:val="001819DF"/>
    <w:rsid w:val="00181C6D"/>
    <w:rsid w:val="0018240F"/>
    <w:rsid w:val="001827F7"/>
    <w:rsid w:val="00183FC1"/>
    <w:rsid w:val="00184090"/>
    <w:rsid w:val="001842DF"/>
    <w:rsid w:val="00184B9C"/>
    <w:rsid w:val="00184CA0"/>
    <w:rsid w:val="00184CBD"/>
    <w:rsid w:val="00184D00"/>
    <w:rsid w:val="00184E68"/>
    <w:rsid w:val="0018540E"/>
    <w:rsid w:val="00185DD6"/>
    <w:rsid w:val="00185E6B"/>
    <w:rsid w:val="0018603B"/>
    <w:rsid w:val="001867B4"/>
    <w:rsid w:val="00186F75"/>
    <w:rsid w:val="00187162"/>
    <w:rsid w:val="00187404"/>
    <w:rsid w:val="00187BBC"/>
    <w:rsid w:val="00187E70"/>
    <w:rsid w:val="00187FCB"/>
    <w:rsid w:val="00190730"/>
    <w:rsid w:val="00190A6A"/>
    <w:rsid w:val="00190EA0"/>
    <w:rsid w:val="00191136"/>
    <w:rsid w:val="00191B44"/>
    <w:rsid w:val="0019273C"/>
    <w:rsid w:val="00192B69"/>
    <w:rsid w:val="001932F3"/>
    <w:rsid w:val="00193AB8"/>
    <w:rsid w:val="0019415C"/>
    <w:rsid w:val="0019449C"/>
    <w:rsid w:val="00194678"/>
    <w:rsid w:val="001946BA"/>
    <w:rsid w:val="00195825"/>
    <w:rsid w:val="00195D60"/>
    <w:rsid w:val="00195EE7"/>
    <w:rsid w:val="001963CD"/>
    <w:rsid w:val="001965DA"/>
    <w:rsid w:val="00196620"/>
    <w:rsid w:val="00196CB3"/>
    <w:rsid w:val="00196CB6"/>
    <w:rsid w:val="00197387"/>
    <w:rsid w:val="00197B42"/>
    <w:rsid w:val="00197DD1"/>
    <w:rsid w:val="001A0420"/>
    <w:rsid w:val="001A0C64"/>
    <w:rsid w:val="001A13FD"/>
    <w:rsid w:val="001A15AB"/>
    <w:rsid w:val="001A17BC"/>
    <w:rsid w:val="001A1C05"/>
    <w:rsid w:val="001A26D1"/>
    <w:rsid w:val="001A2832"/>
    <w:rsid w:val="001A2AF1"/>
    <w:rsid w:val="001A2B40"/>
    <w:rsid w:val="001A31EE"/>
    <w:rsid w:val="001A3E27"/>
    <w:rsid w:val="001A42CC"/>
    <w:rsid w:val="001A4309"/>
    <w:rsid w:val="001A448E"/>
    <w:rsid w:val="001A46AE"/>
    <w:rsid w:val="001A4AFD"/>
    <w:rsid w:val="001A4FAE"/>
    <w:rsid w:val="001A51B4"/>
    <w:rsid w:val="001A6C52"/>
    <w:rsid w:val="001A6E37"/>
    <w:rsid w:val="001A6F9E"/>
    <w:rsid w:val="001B06E4"/>
    <w:rsid w:val="001B1053"/>
    <w:rsid w:val="001B109A"/>
    <w:rsid w:val="001B1450"/>
    <w:rsid w:val="001B14AC"/>
    <w:rsid w:val="001B14B4"/>
    <w:rsid w:val="001B27AD"/>
    <w:rsid w:val="001B27DE"/>
    <w:rsid w:val="001B2D94"/>
    <w:rsid w:val="001B3035"/>
    <w:rsid w:val="001B362D"/>
    <w:rsid w:val="001B3B01"/>
    <w:rsid w:val="001B3B7A"/>
    <w:rsid w:val="001B4C36"/>
    <w:rsid w:val="001B57E7"/>
    <w:rsid w:val="001B5CB1"/>
    <w:rsid w:val="001B664C"/>
    <w:rsid w:val="001B6947"/>
    <w:rsid w:val="001B6A76"/>
    <w:rsid w:val="001B6D0D"/>
    <w:rsid w:val="001B70B6"/>
    <w:rsid w:val="001B7616"/>
    <w:rsid w:val="001B7940"/>
    <w:rsid w:val="001B7D72"/>
    <w:rsid w:val="001C03DC"/>
    <w:rsid w:val="001C06B8"/>
    <w:rsid w:val="001C0AC1"/>
    <w:rsid w:val="001C1430"/>
    <w:rsid w:val="001C171A"/>
    <w:rsid w:val="001C1898"/>
    <w:rsid w:val="001C19F6"/>
    <w:rsid w:val="001C1C40"/>
    <w:rsid w:val="001C273A"/>
    <w:rsid w:val="001C29FA"/>
    <w:rsid w:val="001C2F19"/>
    <w:rsid w:val="001C2FE0"/>
    <w:rsid w:val="001C3627"/>
    <w:rsid w:val="001C36CD"/>
    <w:rsid w:val="001C37CA"/>
    <w:rsid w:val="001C38AE"/>
    <w:rsid w:val="001C3924"/>
    <w:rsid w:val="001C3B00"/>
    <w:rsid w:val="001C3B19"/>
    <w:rsid w:val="001C4085"/>
    <w:rsid w:val="001C58E6"/>
    <w:rsid w:val="001C5B8D"/>
    <w:rsid w:val="001C60DF"/>
    <w:rsid w:val="001C65CA"/>
    <w:rsid w:val="001C6E74"/>
    <w:rsid w:val="001C6FBB"/>
    <w:rsid w:val="001C78CE"/>
    <w:rsid w:val="001D07EE"/>
    <w:rsid w:val="001D0A80"/>
    <w:rsid w:val="001D11D0"/>
    <w:rsid w:val="001D1A1F"/>
    <w:rsid w:val="001D1C30"/>
    <w:rsid w:val="001D255F"/>
    <w:rsid w:val="001D2916"/>
    <w:rsid w:val="001D322C"/>
    <w:rsid w:val="001D345B"/>
    <w:rsid w:val="001D3BDA"/>
    <w:rsid w:val="001D4125"/>
    <w:rsid w:val="001D4303"/>
    <w:rsid w:val="001D4635"/>
    <w:rsid w:val="001D4773"/>
    <w:rsid w:val="001D4FC7"/>
    <w:rsid w:val="001D5195"/>
    <w:rsid w:val="001D5F84"/>
    <w:rsid w:val="001D611F"/>
    <w:rsid w:val="001D6710"/>
    <w:rsid w:val="001D6746"/>
    <w:rsid w:val="001D68FF"/>
    <w:rsid w:val="001D6A83"/>
    <w:rsid w:val="001D70E5"/>
    <w:rsid w:val="001D70EE"/>
    <w:rsid w:val="001D77E2"/>
    <w:rsid w:val="001D78BF"/>
    <w:rsid w:val="001D7AC7"/>
    <w:rsid w:val="001E0C61"/>
    <w:rsid w:val="001E186E"/>
    <w:rsid w:val="001E1879"/>
    <w:rsid w:val="001E18E2"/>
    <w:rsid w:val="001E20E8"/>
    <w:rsid w:val="001E2C76"/>
    <w:rsid w:val="001E3773"/>
    <w:rsid w:val="001E3B49"/>
    <w:rsid w:val="001E4A05"/>
    <w:rsid w:val="001E4DE4"/>
    <w:rsid w:val="001E4F7D"/>
    <w:rsid w:val="001E523C"/>
    <w:rsid w:val="001E5466"/>
    <w:rsid w:val="001E5748"/>
    <w:rsid w:val="001E5A65"/>
    <w:rsid w:val="001E5F71"/>
    <w:rsid w:val="001E5F88"/>
    <w:rsid w:val="001E65E4"/>
    <w:rsid w:val="001E6A19"/>
    <w:rsid w:val="001E6FEB"/>
    <w:rsid w:val="001E7061"/>
    <w:rsid w:val="001E7388"/>
    <w:rsid w:val="001E78C1"/>
    <w:rsid w:val="001E7972"/>
    <w:rsid w:val="001E7AB3"/>
    <w:rsid w:val="001E7B02"/>
    <w:rsid w:val="001F0B0A"/>
    <w:rsid w:val="001F0E8E"/>
    <w:rsid w:val="001F0F08"/>
    <w:rsid w:val="001F105A"/>
    <w:rsid w:val="001F13DD"/>
    <w:rsid w:val="001F16E7"/>
    <w:rsid w:val="001F1D77"/>
    <w:rsid w:val="001F23B9"/>
    <w:rsid w:val="001F2473"/>
    <w:rsid w:val="001F2DBC"/>
    <w:rsid w:val="001F3154"/>
    <w:rsid w:val="001F337B"/>
    <w:rsid w:val="001F33DA"/>
    <w:rsid w:val="001F3B5E"/>
    <w:rsid w:val="001F4779"/>
    <w:rsid w:val="001F5A00"/>
    <w:rsid w:val="001F5C9A"/>
    <w:rsid w:val="001F6BB4"/>
    <w:rsid w:val="001F6E37"/>
    <w:rsid w:val="001F6EE0"/>
    <w:rsid w:val="001F7196"/>
    <w:rsid w:val="001F73E8"/>
    <w:rsid w:val="001F774C"/>
    <w:rsid w:val="001F789A"/>
    <w:rsid w:val="002004EE"/>
    <w:rsid w:val="00200BDB"/>
    <w:rsid w:val="00201797"/>
    <w:rsid w:val="00201A6F"/>
    <w:rsid w:val="00201AA4"/>
    <w:rsid w:val="00201DEA"/>
    <w:rsid w:val="00201F1C"/>
    <w:rsid w:val="0020201E"/>
    <w:rsid w:val="0020262C"/>
    <w:rsid w:val="00202723"/>
    <w:rsid w:val="00202957"/>
    <w:rsid w:val="00203742"/>
    <w:rsid w:val="00203EF7"/>
    <w:rsid w:val="00204053"/>
    <w:rsid w:val="002060D9"/>
    <w:rsid w:val="00206752"/>
    <w:rsid w:val="00206ABD"/>
    <w:rsid w:val="00207124"/>
    <w:rsid w:val="0020751E"/>
    <w:rsid w:val="00207851"/>
    <w:rsid w:val="002078C2"/>
    <w:rsid w:val="002078FF"/>
    <w:rsid w:val="00207A36"/>
    <w:rsid w:val="00210264"/>
    <w:rsid w:val="002105F1"/>
    <w:rsid w:val="00210A9E"/>
    <w:rsid w:val="002115D0"/>
    <w:rsid w:val="0021188C"/>
    <w:rsid w:val="00211A3D"/>
    <w:rsid w:val="00211A3E"/>
    <w:rsid w:val="00211CDB"/>
    <w:rsid w:val="00212754"/>
    <w:rsid w:val="00212D62"/>
    <w:rsid w:val="00213464"/>
    <w:rsid w:val="0021363B"/>
    <w:rsid w:val="00213AF1"/>
    <w:rsid w:val="00213F20"/>
    <w:rsid w:val="00214055"/>
    <w:rsid w:val="00214155"/>
    <w:rsid w:val="00214AB1"/>
    <w:rsid w:val="00215396"/>
    <w:rsid w:val="00215BCA"/>
    <w:rsid w:val="002160F5"/>
    <w:rsid w:val="00216662"/>
    <w:rsid w:val="00217A4B"/>
    <w:rsid w:val="00217AC4"/>
    <w:rsid w:val="00217C91"/>
    <w:rsid w:val="00217D5D"/>
    <w:rsid w:val="00217F10"/>
    <w:rsid w:val="00220000"/>
    <w:rsid w:val="002200D4"/>
    <w:rsid w:val="002202B5"/>
    <w:rsid w:val="002208F2"/>
    <w:rsid w:val="00220AF6"/>
    <w:rsid w:val="00220FDF"/>
    <w:rsid w:val="002213E1"/>
    <w:rsid w:val="00221461"/>
    <w:rsid w:val="00221917"/>
    <w:rsid w:val="00223613"/>
    <w:rsid w:val="002236B2"/>
    <w:rsid w:val="00223F36"/>
    <w:rsid w:val="00224145"/>
    <w:rsid w:val="002241BF"/>
    <w:rsid w:val="00224488"/>
    <w:rsid w:val="00224537"/>
    <w:rsid w:val="00224807"/>
    <w:rsid w:val="0022795A"/>
    <w:rsid w:val="00227AB3"/>
    <w:rsid w:val="002302C7"/>
    <w:rsid w:val="002304CD"/>
    <w:rsid w:val="002306D7"/>
    <w:rsid w:val="00231242"/>
    <w:rsid w:val="00231469"/>
    <w:rsid w:val="0023147E"/>
    <w:rsid w:val="0023169B"/>
    <w:rsid w:val="00231C4C"/>
    <w:rsid w:val="00232014"/>
    <w:rsid w:val="00232870"/>
    <w:rsid w:val="00233F72"/>
    <w:rsid w:val="00234248"/>
    <w:rsid w:val="00235956"/>
    <w:rsid w:val="00235BF3"/>
    <w:rsid w:val="002361A9"/>
    <w:rsid w:val="002365E4"/>
    <w:rsid w:val="00236D9E"/>
    <w:rsid w:val="00236DC8"/>
    <w:rsid w:val="00237255"/>
    <w:rsid w:val="002400E8"/>
    <w:rsid w:val="002403B8"/>
    <w:rsid w:val="0024045A"/>
    <w:rsid w:val="00240638"/>
    <w:rsid w:val="00240F01"/>
    <w:rsid w:val="00240FF4"/>
    <w:rsid w:val="00241043"/>
    <w:rsid w:val="0024126B"/>
    <w:rsid w:val="00241708"/>
    <w:rsid w:val="0024207F"/>
    <w:rsid w:val="002424B7"/>
    <w:rsid w:val="00242A28"/>
    <w:rsid w:val="00243E5E"/>
    <w:rsid w:val="00244B55"/>
    <w:rsid w:val="002454C7"/>
    <w:rsid w:val="002457F9"/>
    <w:rsid w:val="0024580B"/>
    <w:rsid w:val="0024601C"/>
    <w:rsid w:val="002465C4"/>
    <w:rsid w:val="002467A6"/>
    <w:rsid w:val="00247B9A"/>
    <w:rsid w:val="00247C9A"/>
    <w:rsid w:val="00250494"/>
    <w:rsid w:val="00250733"/>
    <w:rsid w:val="00250CC7"/>
    <w:rsid w:val="0025160C"/>
    <w:rsid w:val="00251904"/>
    <w:rsid w:val="00251D61"/>
    <w:rsid w:val="00251D98"/>
    <w:rsid w:val="002521EC"/>
    <w:rsid w:val="00252609"/>
    <w:rsid w:val="00252F12"/>
    <w:rsid w:val="00253304"/>
    <w:rsid w:val="002535D0"/>
    <w:rsid w:val="002539B3"/>
    <w:rsid w:val="00253A38"/>
    <w:rsid w:val="00253B05"/>
    <w:rsid w:val="00253F6F"/>
    <w:rsid w:val="002545B5"/>
    <w:rsid w:val="00254AA6"/>
    <w:rsid w:val="002554EC"/>
    <w:rsid w:val="00255A5D"/>
    <w:rsid w:val="00256336"/>
    <w:rsid w:val="00256489"/>
    <w:rsid w:val="0025674F"/>
    <w:rsid w:val="00256B29"/>
    <w:rsid w:val="00256C48"/>
    <w:rsid w:val="00256C64"/>
    <w:rsid w:val="00257580"/>
    <w:rsid w:val="00257C3E"/>
    <w:rsid w:val="002600D3"/>
    <w:rsid w:val="002602C2"/>
    <w:rsid w:val="002603D1"/>
    <w:rsid w:val="00260B9F"/>
    <w:rsid w:val="00260BB6"/>
    <w:rsid w:val="002614A6"/>
    <w:rsid w:val="00261B0E"/>
    <w:rsid w:val="00261F80"/>
    <w:rsid w:val="0026248E"/>
    <w:rsid w:val="00262AED"/>
    <w:rsid w:val="00262FB7"/>
    <w:rsid w:val="002635A7"/>
    <w:rsid w:val="0026386F"/>
    <w:rsid w:val="00263DE2"/>
    <w:rsid w:val="00263F5C"/>
    <w:rsid w:val="00264742"/>
    <w:rsid w:val="00264757"/>
    <w:rsid w:val="00264B04"/>
    <w:rsid w:val="00264E72"/>
    <w:rsid w:val="00264FDA"/>
    <w:rsid w:val="002652E4"/>
    <w:rsid w:val="00265420"/>
    <w:rsid w:val="002657F2"/>
    <w:rsid w:val="00265B62"/>
    <w:rsid w:val="002666C9"/>
    <w:rsid w:val="002669D2"/>
    <w:rsid w:val="00266A97"/>
    <w:rsid w:val="0026721B"/>
    <w:rsid w:val="0026763B"/>
    <w:rsid w:val="00267ADB"/>
    <w:rsid w:val="00270136"/>
    <w:rsid w:val="0027076C"/>
    <w:rsid w:val="00270FD7"/>
    <w:rsid w:val="002715D0"/>
    <w:rsid w:val="002717A4"/>
    <w:rsid w:val="002717CA"/>
    <w:rsid w:val="002720DC"/>
    <w:rsid w:val="00273B1F"/>
    <w:rsid w:val="00274203"/>
    <w:rsid w:val="00274F5B"/>
    <w:rsid w:val="00274FDB"/>
    <w:rsid w:val="00275556"/>
    <w:rsid w:val="00275B5A"/>
    <w:rsid w:val="00276368"/>
    <w:rsid w:val="00276A43"/>
    <w:rsid w:val="00276ED6"/>
    <w:rsid w:val="00276F4A"/>
    <w:rsid w:val="00276F58"/>
    <w:rsid w:val="00277B1E"/>
    <w:rsid w:val="00277B37"/>
    <w:rsid w:val="002800B0"/>
    <w:rsid w:val="00280836"/>
    <w:rsid w:val="002813EA"/>
    <w:rsid w:val="00281A5E"/>
    <w:rsid w:val="00281AC4"/>
    <w:rsid w:val="002822D0"/>
    <w:rsid w:val="00282E1A"/>
    <w:rsid w:val="00283402"/>
    <w:rsid w:val="00283B07"/>
    <w:rsid w:val="002840F1"/>
    <w:rsid w:val="00284242"/>
    <w:rsid w:val="00284415"/>
    <w:rsid w:val="00284C32"/>
    <w:rsid w:val="00284D8C"/>
    <w:rsid w:val="002857F1"/>
    <w:rsid w:val="00285922"/>
    <w:rsid w:val="00285A47"/>
    <w:rsid w:val="00285A98"/>
    <w:rsid w:val="002866C9"/>
    <w:rsid w:val="00286CD8"/>
    <w:rsid w:val="002870F2"/>
    <w:rsid w:val="00287274"/>
    <w:rsid w:val="0028798D"/>
    <w:rsid w:val="00287C7A"/>
    <w:rsid w:val="00287CC7"/>
    <w:rsid w:val="00287E0D"/>
    <w:rsid w:val="00287FE1"/>
    <w:rsid w:val="002900FF"/>
    <w:rsid w:val="002901E7"/>
    <w:rsid w:val="0029037F"/>
    <w:rsid w:val="00290C7F"/>
    <w:rsid w:val="00290CE7"/>
    <w:rsid w:val="0029113B"/>
    <w:rsid w:val="0029225E"/>
    <w:rsid w:val="00292989"/>
    <w:rsid w:val="00292DC9"/>
    <w:rsid w:val="00292F7A"/>
    <w:rsid w:val="00292FFF"/>
    <w:rsid w:val="0029312E"/>
    <w:rsid w:val="002934C0"/>
    <w:rsid w:val="00293A25"/>
    <w:rsid w:val="00293E1F"/>
    <w:rsid w:val="00294AFA"/>
    <w:rsid w:val="0029524B"/>
    <w:rsid w:val="00295286"/>
    <w:rsid w:val="0029615C"/>
    <w:rsid w:val="0029764C"/>
    <w:rsid w:val="002A1161"/>
    <w:rsid w:val="002A138B"/>
    <w:rsid w:val="002A15FA"/>
    <w:rsid w:val="002A17ED"/>
    <w:rsid w:val="002A1B50"/>
    <w:rsid w:val="002A1D1C"/>
    <w:rsid w:val="002A2CAA"/>
    <w:rsid w:val="002A3023"/>
    <w:rsid w:val="002A4040"/>
    <w:rsid w:val="002A42B1"/>
    <w:rsid w:val="002A46DC"/>
    <w:rsid w:val="002A482D"/>
    <w:rsid w:val="002A4B29"/>
    <w:rsid w:val="002A4EEE"/>
    <w:rsid w:val="002A55F9"/>
    <w:rsid w:val="002A5BF4"/>
    <w:rsid w:val="002A699B"/>
    <w:rsid w:val="002A6B33"/>
    <w:rsid w:val="002A6DAE"/>
    <w:rsid w:val="002A6F85"/>
    <w:rsid w:val="002A75E5"/>
    <w:rsid w:val="002A7CB5"/>
    <w:rsid w:val="002A7FE7"/>
    <w:rsid w:val="002B02E2"/>
    <w:rsid w:val="002B0988"/>
    <w:rsid w:val="002B0C37"/>
    <w:rsid w:val="002B0E91"/>
    <w:rsid w:val="002B132C"/>
    <w:rsid w:val="002B15DD"/>
    <w:rsid w:val="002B1DC7"/>
    <w:rsid w:val="002B233E"/>
    <w:rsid w:val="002B2CF3"/>
    <w:rsid w:val="002B3264"/>
    <w:rsid w:val="002B34E1"/>
    <w:rsid w:val="002B3A98"/>
    <w:rsid w:val="002B3F23"/>
    <w:rsid w:val="002B4149"/>
    <w:rsid w:val="002B4EB5"/>
    <w:rsid w:val="002B5AF5"/>
    <w:rsid w:val="002B5EBE"/>
    <w:rsid w:val="002B6351"/>
    <w:rsid w:val="002B670D"/>
    <w:rsid w:val="002B6779"/>
    <w:rsid w:val="002B71C0"/>
    <w:rsid w:val="002B77A4"/>
    <w:rsid w:val="002B7A34"/>
    <w:rsid w:val="002C0205"/>
    <w:rsid w:val="002C0332"/>
    <w:rsid w:val="002C0982"/>
    <w:rsid w:val="002C125E"/>
    <w:rsid w:val="002C1707"/>
    <w:rsid w:val="002C19B7"/>
    <w:rsid w:val="002C1D0D"/>
    <w:rsid w:val="002C2552"/>
    <w:rsid w:val="002C2DF9"/>
    <w:rsid w:val="002C2F98"/>
    <w:rsid w:val="002C31AD"/>
    <w:rsid w:val="002C33FC"/>
    <w:rsid w:val="002C4273"/>
    <w:rsid w:val="002C51F3"/>
    <w:rsid w:val="002C52DF"/>
    <w:rsid w:val="002C5D43"/>
    <w:rsid w:val="002C63A7"/>
    <w:rsid w:val="002C68FA"/>
    <w:rsid w:val="002C6A1B"/>
    <w:rsid w:val="002C6D6E"/>
    <w:rsid w:val="002C6EB0"/>
    <w:rsid w:val="002C7012"/>
    <w:rsid w:val="002C701D"/>
    <w:rsid w:val="002C7128"/>
    <w:rsid w:val="002C7385"/>
    <w:rsid w:val="002C75B1"/>
    <w:rsid w:val="002C7977"/>
    <w:rsid w:val="002C7DA5"/>
    <w:rsid w:val="002C7E2D"/>
    <w:rsid w:val="002D032B"/>
    <w:rsid w:val="002D045D"/>
    <w:rsid w:val="002D0C83"/>
    <w:rsid w:val="002D0E01"/>
    <w:rsid w:val="002D14BA"/>
    <w:rsid w:val="002D16ED"/>
    <w:rsid w:val="002D18D2"/>
    <w:rsid w:val="002D211E"/>
    <w:rsid w:val="002D273C"/>
    <w:rsid w:val="002D2B85"/>
    <w:rsid w:val="002D2DBB"/>
    <w:rsid w:val="002D3170"/>
    <w:rsid w:val="002D37D8"/>
    <w:rsid w:val="002D3A57"/>
    <w:rsid w:val="002D3CF2"/>
    <w:rsid w:val="002D43D3"/>
    <w:rsid w:val="002D451E"/>
    <w:rsid w:val="002D5494"/>
    <w:rsid w:val="002D54A6"/>
    <w:rsid w:val="002D5CF3"/>
    <w:rsid w:val="002D60BE"/>
    <w:rsid w:val="002D6DF9"/>
    <w:rsid w:val="002D73BA"/>
    <w:rsid w:val="002D749F"/>
    <w:rsid w:val="002E010C"/>
    <w:rsid w:val="002E133E"/>
    <w:rsid w:val="002E15DB"/>
    <w:rsid w:val="002E16E3"/>
    <w:rsid w:val="002E1824"/>
    <w:rsid w:val="002E2529"/>
    <w:rsid w:val="002E2D49"/>
    <w:rsid w:val="002E2DBE"/>
    <w:rsid w:val="002E3177"/>
    <w:rsid w:val="002E31A2"/>
    <w:rsid w:val="002E339D"/>
    <w:rsid w:val="002E34D0"/>
    <w:rsid w:val="002E3779"/>
    <w:rsid w:val="002E432F"/>
    <w:rsid w:val="002E499E"/>
    <w:rsid w:val="002E55E9"/>
    <w:rsid w:val="002E5857"/>
    <w:rsid w:val="002E5893"/>
    <w:rsid w:val="002E5BF9"/>
    <w:rsid w:val="002E6276"/>
    <w:rsid w:val="002E6A7A"/>
    <w:rsid w:val="002E72C9"/>
    <w:rsid w:val="002E76FA"/>
    <w:rsid w:val="002E7A3A"/>
    <w:rsid w:val="002E7C1F"/>
    <w:rsid w:val="002E7D54"/>
    <w:rsid w:val="002E7E2C"/>
    <w:rsid w:val="002F0760"/>
    <w:rsid w:val="002F0D63"/>
    <w:rsid w:val="002F0E25"/>
    <w:rsid w:val="002F1123"/>
    <w:rsid w:val="002F1416"/>
    <w:rsid w:val="002F15F6"/>
    <w:rsid w:val="002F1965"/>
    <w:rsid w:val="002F1E49"/>
    <w:rsid w:val="002F2451"/>
    <w:rsid w:val="002F2533"/>
    <w:rsid w:val="002F28B1"/>
    <w:rsid w:val="002F2BC5"/>
    <w:rsid w:val="002F3135"/>
    <w:rsid w:val="002F371B"/>
    <w:rsid w:val="002F3B16"/>
    <w:rsid w:val="002F4699"/>
    <w:rsid w:val="002F4792"/>
    <w:rsid w:val="002F4A5D"/>
    <w:rsid w:val="002F4E9C"/>
    <w:rsid w:val="002F58E7"/>
    <w:rsid w:val="002F5B59"/>
    <w:rsid w:val="002F64B2"/>
    <w:rsid w:val="002F6E15"/>
    <w:rsid w:val="002F71A7"/>
    <w:rsid w:val="002F7539"/>
    <w:rsid w:val="002F75CA"/>
    <w:rsid w:val="0030020E"/>
    <w:rsid w:val="00300284"/>
    <w:rsid w:val="00300A75"/>
    <w:rsid w:val="00301DB8"/>
    <w:rsid w:val="00301F29"/>
    <w:rsid w:val="0030233C"/>
    <w:rsid w:val="00302D0B"/>
    <w:rsid w:val="00302F4E"/>
    <w:rsid w:val="003036BC"/>
    <w:rsid w:val="00303761"/>
    <w:rsid w:val="00303B85"/>
    <w:rsid w:val="0030496A"/>
    <w:rsid w:val="003052AF"/>
    <w:rsid w:val="003052CD"/>
    <w:rsid w:val="003055C1"/>
    <w:rsid w:val="003056DA"/>
    <w:rsid w:val="00305760"/>
    <w:rsid w:val="003057B9"/>
    <w:rsid w:val="00305995"/>
    <w:rsid w:val="00306354"/>
    <w:rsid w:val="00306592"/>
    <w:rsid w:val="00306E66"/>
    <w:rsid w:val="00307561"/>
    <w:rsid w:val="003076D3"/>
    <w:rsid w:val="003104B3"/>
    <w:rsid w:val="00310A71"/>
    <w:rsid w:val="00310CE5"/>
    <w:rsid w:val="00311047"/>
    <w:rsid w:val="00311FE2"/>
    <w:rsid w:val="00312344"/>
    <w:rsid w:val="0031256C"/>
    <w:rsid w:val="003126EE"/>
    <w:rsid w:val="00312AAC"/>
    <w:rsid w:val="003133AA"/>
    <w:rsid w:val="00313430"/>
    <w:rsid w:val="00313643"/>
    <w:rsid w:val="003138DA"/>
    <w:rsid w:val="00314574"/>
    <w:rsid w:val="00314AAC"/>
    <w:rsid w:val="00314D6C"/>
    <w:rsid w:val="0031510B"/>
    <w:rsid w:val="003154F7"/>
    <w:rsid w:val="003157F4"/>
    <w:rsid w:val="00316395"/>
    <w:rsid w:val="003163CC"/>
    <w:rsid w:val="0031664D"/>
    <w:rsid w:val="00316897"/>
    <w:rsid w:val="00316B11"/>
    <w:rsid w:val="00316D2A"/>
    <w:rsid w:val="003200A8"/>
    <w:rsid w:val="00320770"/>
    <w:rsid w:val="00321117"/>
    <w:rsid w:val="00321197"/>
    <w:rsid w:val="0032148C"/>
    <w:rsid w:val="00321D19"/>
    <w:rsid w:val="00322761"/>
    <w:rsid w:val="00322A7C"/>
    <w:rsid w:val="00322EEC"/>
    <w:rsid w:val="00323061"/>
    <w:rsid w:val="00323B4D"/>
    <w:rsid w:val="00324336"/>
    <w:rsid w:val="00325063"/>
    <w:rsid w:val="00325416"/>
    <w:rsid w:val="0032563F"/>
    <w:rsid w:val="003257C2"/>
    <w:rsid w:val="00325A27"/>
    <w:rsid w:val="00325A38"/>
    <w:rsid w:val="00325D9C"/>
    <w:rsid w:val="003276C4"/>
    <w:rsid w:val="00327707"/>
    <w:rsid w:val="00330A89"/>
    <w:rsid w:val="00330F1E"/>
    <w:rsid w:val="003313F4"/>
    <w:rsid w:val="0033171B"/>
    <w:rsid w:val="003317FD"/>
    <w:rsid w:val="003323D3"/>
    <w:rsid w:val="003323F1"/>
    <w:rsid w:val="00332495"/>
    <w:rsid w:val="003326FE"/>
    <w:rsid w:val="00333226"/>
    <w:rsid w:val="003334FF"/>
    <w:rsid w:val="00333D23"/>
    <w:rsid w:val="00333FC7"/>
    <w:rsid w:val="00334313"/>
    <w:rsid w:val="003345AD"/>
    <w:rsid w:val="0033463E"/>
    <w:rsid w:val="00334B8A"/>
    <w:rsid w:val="003350F4"/>
    <w:rsid w:val="00335932"/>
    <w:rsid w:val="00337179"/>
    <w:rsid w:val="0033719C"/>
    <w:rsid w:val="00337731"/>
    <w:rsid w:val="003401A0"/>
    <w:rsid w:val="003402D3"/>
    <w:rsid w:val="00340436"/>
    <w:rsid w:val="0034068E"/>
    <w:rsid w:val="00340805"/>
    <w:rsid w:val="00340FC0"/>
    <w:rsid w:val="00341301"/>
    <w:rsid w:val="00341714"/>
    <w:rsid w:val="00342911"/>
    <w:rsid w:val="00342D99"/>
    <w:rsid w:val="00343ABC"/>
    <w:rsid w:val="003440CE"/>
    <w:rsid w:val="00344371"/>
    <w:rsid w:val="00344389"/>
    <w:rsid w:val="003443EE"/>
    <w:rsid w:val="00344903"/>
    <w:rsid w:val="00344B99"/>
    <w:rsid w:val="00344EC6"/>
    <w:rsid w:val="00344EF7"/>
    <w:rsid w:val="0034549C"/>
    <w:rsid w:val="00345A45"/>
    <w:rsid w:val="003463FE"/>
    <w:rsid w:val="003465CE"/>
    <w:rsid w:val="00346670"/>
    <w:rsid w:val="003468C9"/>
    <w:rsid w:val="00346C21"/>
    <w:rsid w:val="00346F5D"/>
    <w:rsid w:val="003472FB"/>
    <w:rsid w:val="003472FC"/>
    <w:rsid w:val="00347488"/>
    <w:rsid w:val="00347D41"/>
    <w:rsid w:val="003503CB"/>
    <w:rsid w:val="00350C85"/>
    <w:rsid w:val="003514BE"/>
    <w:rsid w:val="003515AB"/>
    <w:rsid w:val="00351BDF"/>
    <w:rsid w:val="00351C36"/>
    <w:rsid w:val="003524FF"/>
    <w:rsid w:val="00353634"/>
    <w:rsid w:val="0035392C"/>
    <w:rsid w:val="00353C4A"/>
    <w:rsid w:val="00353C51"/>
    <w:rsid w:val="00353F7D"/>
    <w:rsid w:val="00354BA8"/>
    <w:rsid w:val="00354DF1"/>
    <w:rsid w:val="003554B3"/>
    <w:rsid w:val="003555B1"/>
    <w:rsid w:val="00355DC6"/>
    <w:rsid w:val="00355E01"/>
    <w:rsid w:val="00355EE8"/>
    <w:rsid w:val="00355EF3"/>
    <w:rsid w:val="00356632"/>
    <w:rsid w:val="0035669B"/>
    <w:rsid w:val="00356711"/>
    <w:rsid w:val="003568B3"/>
    <w:rsid w:val="0035693C"/>
    <w:rsid w:val="00357554"/>
    <w:rsid w:val="00357562"/>
    <w:rsid w:val="00357C7E"/>
    <w:rsid w:val="00357EE8"/>
    <w:rsid w:val="00360279"/>
    <w:rsid w:val="00360B5D"/>
    <w:rsid w:val="00360EAF"/>
    <w:rsid w:val="003625F3"/>
    <w:rsid w:val="00363079"/>
    <w:rsid w:val="0036322B"/>
    <w:rsid w:val="003632C0"/>
    <w:rsid w:val="00363C3A"/>
    <w:rsid w:val="00363C8A"/>
    <w:rsid w:val="003646BC"/>
    <w:rsid w:val="0036476B"/>
    <w:rsid w:val="003647A6"/>
    <w:rsid w:val="00364EC1"/>
    <w:rsid w:val="003653B6"/>
    <w:rsid w:val="00366046"/>
    <w:rsid w:val="003669E2"/>
    <w:rsid w:val="00366D9B"/>
    <w:rsid w:val="003674EE"/>
    <w:rsid w:val="00367919"/>
    <w:rsid w:val="003679FB"/>
    <w:rsid w:val="00370327"/>
    <w:rsid w:val="00370B45"/>
    <w:rsid w:val="00370B51"/>
    <w:rsid w:val="00370DE8"/>
    <w:rsid w:val="00370EAB"/>
    <w:rsid w:val="003712C6"/>
    <w:rsid w:val="00371646"/>
    <w:rsid w:val="003727CE"/>
    <w:rsid w:val="003728E7"/>
    <w:rsid w:val="00372A9B"/>
    <w:rsid w:val="00373DAB"/>
    <w:rsid w:val="00374098"/>
    <w:rsid w:val="00374373"/>
    <w:rsid w:val="00374A30"/>
    <w:rsid w:val="00374B8C"/>
    <w:rsid w:val="00374CC4"/>
    <w:rsid w:val="00374EB9"/>
    <w:rsid w:val="003751D5"/>
    <w:rsid w:val="00375322"/>
    <w:rsid w:val="0037577B"/>
    <w:rsid w:val="00376D4B"/>
    <w:rsid w:val="00377176"/>
    <w:rsid w:val="003774B2"/>
    <w:rsid w:val="003809E8"/>
    <w:rsid w:val="00380B32"/>
    <w:rsid w:val="00380F2D"/>
    <w:rsid w:val="003812AD"/>
    <w:rsid w:val="00381B2E"/>
    <w:rsid w:val="0038255B"/>
    <w:rsid w:val="00382718"/>
    <w:rsid w:val="00382E4B"/>
    <w:rsid w:val="00383E4B"/>
    <w:rsid w:val="003845A9"/>
    <w:rsid w:val="003848EF"/>
    <w:rsid w:val="00384BD2"/>
    <w:rsid w:val="003850C9"/>
    <w:rsid w:val="0038545A"/>
    <w:rsid w:val="0038621B"/>
    <w:rsid w:val="00386290"/>
    <w:rsid w:val="00386315"/>
    <w:rsid w:val="003863C1"/>
    <w:rsid w:val="00386C4E"/>
    <w:rsid w:val="00387259"/>
    <w:rsid w:val="00387561"/>
    <w:rsid w:val="00390476"/>
    <w:rsid w:val="0039055B"/>
    <w:rsid w:val="00390883"/>
    <w:rsid w:val="003909FA"/>
    <w:rsid w:val="00390BC9"/>
    <w:rsid w:val="00391134"/>
    <w:rsid w:val="00391161"/>
    <w:rsid w:val="0039128A"/>
    <w:rsid w:val="003913F7"/>
    <w:rsid w:val="003917D4"/>
    <w:rsid w:val="00391909"/>
    <w:rsid w:val="00391A97"/>
    <w:rsid w:val="003922F8"/>
    <w:rsid w:val="0039231E"/>
    <w:rsid w:val="00392AF8"/>
    <w:rsid w:val="0039344D"/>
    <w:rsid w:val="00393564"/>
    <w:rsid w:val="0039386F"/>
    <w:rsid w:val="00394678"/>
    <w:rsid w:val="0039487E"/>
    <w:rsid w:val="0039524C"/>
    <w:rsid w:val="003953EF"/>
    <w:rsid w:val="00395412"/>
    <w:rsid w:val="003955E6"/>
    <w:rsid w:val="00395B24"/>
    <w:rsid w:val="003961FB"/>
    <w:rsid w:val="003977C0"/>
    <w:rsid w:val="0039793C"/>
    <w:rsid w:val="003A068F"/>
    <w:rsid w:val="003A080E"/>
    <w:rsid w:val="003A0EE3"/>
    <w:rsid w:val="003A1067"/>
    <w:rsid w:val="003A12C3"/>
    <w:rsid w:val="003A194F"/>
    <w:rsid w:val="003A1AB1"/>
    <w:rsid w:val="003A2BCE"/>
    <w:rsid w:val="003A2D38"/>
    <w:rsid w:val="003A2F18"/>
    <w:rsid w:val="003A36D7"/>
    <w:rsid w:val="003A46A9"/>
    <w:rsid w:val="003A4BC5"/>
    <w:rsid w:val="003A5284"/>
    <w:rsid w:val="003A52B9"/>
    <w:rsid w:val="003A54DF"/>
    <w:rsid w:val="003A5CA8"/>
    <w:rsid w:val="003A6B1E"/>
    <w:rsid w:val="003A7289"/>
    <w:rsid w:val="003A7747"/>
    <w:rsid w:val="003A7ECC"/>
    <w:rsid w:val="003B0072"/>
    <w:rsid w:val="003B084D"/>
    <w:rsid w:val="003B1F99"/>
    <w:rsid w:val="003B2360"/>
    <w:rsid w:val="003B2C72"/>
    <w:rsid w:val="003B3389"/>
    <w:rsid w:val="003B3E2C"/>
    <w:rsid w:val="003B4069"/>
    <w:rsid w:val="003B47E9"/>
    <w:rsid w:val="003B55B6"/>
    <w:rsid w:val="003B58B4"/>
    <w:rsid w:val="003B5D52"/>
    <w:rsid w:val="003B6331"/>
    <w:rsid w:val="003B6421"/>
    <w:rsid w:val="003B6774"/>
    <w:rsid w:val="003B754F"/>
    <w:rsid w:val="003B7BEC"/>
    <w:rsid w:val="003B7E98"/>
    <w:rsid w:val="003C0CA6"/>
    <w:rsid w:val="003C1333"/>
    <w:rsid w:val="003C20FF"/>
    <w:rsid w:val="003C2223"/>
    <w:rsid w:val="003C2832"/>
    <w:rsid w:val="003C2B1A"/>
    <w:rsid w:val="003C2B7C"/>
    <w:rsid w:val="003C3A1B"/>
    <w:rsid w:val="003C4086"/>
    <w:rsid w:val="003C45CB"/>
    <w:rsid w:val="003C476E"/>
    <w:rsid w:val="003C49F0"/>
    <w:rsid w:val="003C4E02"/>
    <w:rsid w:val="003C4EA0"/>
    <w:rsid w:val="003C5430"/>
    <w:rsid w:val="003C550A"/>
    <w:rsid w:val="003C58F1"/>
    <w:rsid w:val="003C593C"/>
    <w:rsid w:val="003C6055"/>
    <w:rsid w:val="003C6A70"/>
    <w:rsid w:val="003C6DEE"/>
    <w:rsid w:val="003C7215"/>
    <w:rsid w:val="003C73B2"/>
    <w:rsid w:val="003C7AFF"/>
    <w:rsid w:val="003C7C15"/>
    <w:rsid w:val="003C7F59"/>
    <w:rsid w:val="003D0410"/>
    <w:rsid w:val="003D064F"/>
    <w:rsid w:val="003D10BA"/>
    <w:rsid w:val="003D1290"/>
    <w:rsid w:val="003D156A"/>
    <w:rsid w:val="003D2650"/>
    <w:rsid w:val="003D2DF4"/>
    <w:rsid w:val="003D3420"/>
    <w:rsid w:val="003D3479"/>
    <w:rsid w:val="003D3742"/>
    <w:rsid w:val="003D4D5D"/>
    <w:rsid w:val="003D547E"/>
    <w:rsid w:val="003D560C"/>
    <w:rsid w:val="003D5AC9"/>
    <w:rsid w:val="003D5B42"/>
    <w:rsid w:val="003D5C00"/>
    <w:rsid w:val="003D60F3"/>
    <w:rsid w:val="003D6AA3"/>
    <w:rsid w:val="003D7372"/>
    <w:rsid w:val="003E0219"/>
    <w:rsid w:val="003E035E"/>
    <w:rsid w:val="003E0652"/>
    <w:rsid w:val="003E17F2"/>
    <w:rsid w:val="003E1CA5"/>
    <w:rsid w:val="003E21BF"/>
    <w:rsid w:val="003E2933"/>
    <w:rsid w:val="003E2DE4"/>
    <w:rsid w:val="003E3154"/>
    <w:rsid w:val="003E34BE"/>
    <w:rsid w:val="003E36A3"/>
    <w:rsid w:val="003E3CCE"/>
    <w:rsid w:val="003E441B"/>
    <w:rsid w:val="003E5809"/>
    <w:rsid w:val="003E5874"/>
    <w:rsid w:val="003E5E4B"/>
    <w:rsid w:val="003E5EBF"/>
    <w:rsid w:val="003E6267"/>
    <w:rsid w:val="003E640C"/>
    <w:rsid w:val="003E64C3"/>
    <w:rsid w:val="003E666E"/>
    <w:rsid w:val="003E728D"/>
    <w:rsid w:val="003E72D3"/>
    <w:rsid w:val="003E73C7"/>
    <w:rsid w:val="003E7576"/>
    <w:rsid w:val="003E77EC"/>
    <w:rsid w:val="003E780A"/>
    <w:rsid w:val="003E78DA"/>
    <w:rsid w:val="003E79DE"/>
    <w:rsid w:val="003F0445"/>
    <w:rsid w:val="003F193E"/>
    <w:rsid w:val="003F21AB"/>
    <w:rsid w:val="003F242C"/>
    <w:rsid w:val="003F27E2"/>
    <w:rsid w:val="003F3203"/>
    <w:rsid w:val="003F34F1"/>
    <w:rsid w:val="003F368F"/>
    <w:rsid w:val="003F3A67"/>
    <w:rsid w:val="003F40C5"/>
    <w:rsid w:val="003F4441"/>
    <w:rsid w:val="003F4505"/>
    <w:rsid w:val="003F514B"/>
    <w:rsid w:val="003F52A2"/>
    <w:rsid w:val="003F5A1B"/>
    <w:rsid w:val="003F5AB6"/>
    <w:rsid w:val="003F64EE"/>
    <w:rsid w:val="003F6960"/>
    <w:rsid w:val="003F6AEE"/>
    <w:rsid w:val="003F6DD8"/>
    <w:rsid w:val="003F6E3C"/>
    <w:rsid w:val="003F773B"/>
    <w:rsid w:val="004000E2"/>
    <w:rsid w:val="00400160"/>
    <w:rsid w:val="004002D3"/>
    <w:rsid w:val="0040036B"/>
    <w:rsid w:val="00400CA0"/>
    <w:rsid w:val="00401BB9"/>
    <w:rsid w:val="00401EAC"/>
    <w:rsid w:val="00402469"/>
    <w:rsid w:val="0040260F"/>
    <w:rsid w:val="00402783"/>
    <w:rsid w:val="00402C7F"/>
    <w:rsid w:val="004031D8"/>
    <w:rsid w:val="004038D2"/>
    <w:rsid w:val="00403B00"/>
    <w:rsid w:val="00404CF6"/>
    <w:rsid w:val="00404E78"/>
    <w:rsid w:val="00405E39"/>
    <w:rsid w:val="00405ECF"/>
    <w:rsid w:val="00406E0E"/>
    <w:rsid w:val="004075C6"/>
    <w:rsid w:val="00407EA8"/>
    <w:rsid w:val="004104B6"/>
    <w:rsid w:val="00410FDA"/>
    <w:rsid w:val="00411683"/>
    <w:rsid w:val="00411AE8"/>
    <w:rsid w:val="004125AF"/>
    <w:rsid w:val="00412869"/>
    <w:rsid w:val="00412942"/>
    <w:rsid w:val="0041294C"/>
    <w:rsid w:val="00412DB2"/>
    <w:rsid w:val="00412E27"/>
    <w:rsid w:val="00412FAD"/>
    <w:rsid w:val="00413108"/>
    <w:rsid w:val="0041374D"/>
    <w:rsid w:val="00413B74"/>
    <w:rsid w:val="00413E82"/>
    <w:rsid w:val="00413F3C"/>
    <w:rsid w:val="0041490D"/>
    <w:rsid w:val="00414F8C"/>
    <w:rsid w:val="00415310"/>
    <w:rsid w:val="0041578C"/>
    <w:rsid w:val="00416276"/>
    <w:rsid w:val="004163E5"/>
    <w:rsid w:val="0041725E"/>
    <w:rsid w:val="00417AFB"/>
    <w:rsid w:val="00417E6E"/>
    <w:rsid w:val="0042056A"/>
    <w:rsid w:val="00420FE8"/>
    <w:rsid w:val="0042160C"/>
    <w:rsid w:val="004216BE"/>
    <w:rsid w:val="004216D1"/>
    <w:rsid w:val="004216D3"/>
    <w:rsid w:val="004217FA"/>
    <w:rsid w:val="00421D67"/>
    <w:rsid w:val="00422089"/>
    <w:rsid w:val="0042250C"/>
    <w:rsid w:val="00423495"/>
    <w:rsid w:val="00423D76"/>
    <w:rsid w:val="004258FF"/>
    <w:rsid w:val="00425A64"/>
    <w:rsid w:val="00425C98"/>
    <w:rsid w:val="00426059"/>
    <w:rsid w:val="00426299"/>
    <w:rsid w:val="00426866"/>
    <w:rsid w:val="00426A2A"/>
    <w:rsid w:val="00427203"/>
    <w:rsid w:val="00427B6C"/>
    <w:rsid w:val="00427D74"/>
    <w:rsid w:val="00430367"/>
    <w:rsid w:val="004307BF"/>
    <w:rsid w:val="00431823"/>
    <w:rsid w:val="00431B57"/>
    <w:rsid w:val="00431DCA"/>
    <w:rsid w:val="00431E6A"/>
    <w:rsid w:val="004320AD"/>
    <w:rsid w:val="004320BD"/>
    <w:rsid w:val="004322DF"/>
    <w:rsid w:val="004342F3"/>
    <w:rsid w:val="00434BF3"/>
    <w:rsid w:val="00435496"/>
    <w:rsid w:val="00435C5F"/>
    <w:rsid w:val="00436155"/>
    <w:rsid w:val="00436460"/>
    <w:rsid w:val="00436D23"/>
    <w:rsid w:val="00436DC8"/>
    <w:rsid w:val="004379FF"/>
    <w:rsid w:val="00437BDE"/>
    <w:rsid w:val="0044042D"/>
    <w:rsid w:val="00440846"/>
    <w:rsid w:val="0044086C"/>
    <w:rsid w:val="00440887"/>
    <w:rsid w:val="00440D7E"/>
    <w:rsid w:val="00440DF3"/>
    <w:rsid w:val="004411F5"/>
    <w:rsid w:val="0044191E"/>
    <w:rsid w:val="00441A44"/>
    <w:rsid w:val="00441DA7"/>
    <w:rsid w:val="00441E98"/>
    <w:rsid w:val="00442022"/>
    <w:rsid w:val="0044204C"/>
    <w:rsid w:val="0044230A"/>
    <w:rsid w:val="0044234E"/>
    <w:rsid w:val="004429F9"/>
    <w:rsid w:val="00442BB1"/>
    <w:rsid w:val="00443471"/>
    <w:rsid w:val="00443930"/>
    <w:rsid w:val="00443E0C"/>
    <w:rsid w:val="00444391"/>
    <w:rsid w:val="00444773"/>
    <w:rsid w:val="00444944"/>
    <w:rsid w:val="00444AF1"/>
    <w:rsid w:val="00444EF5"/>
    <w:rsid w:val="00444FB0"/>
    <w:rsid w:val="0044550C"/>
    <w:rsid w:val="00445EC2"/>
    <w:rsid w:val="004460A5"/>
    <w:rsid w:val="004466D5"/>
    <w:rsid w:val="00446C6E"/>
    <w:rsid w:val="00447FAD"/>
    <w:rsid w:val="00450213"/>
    <w:rsid w:val="004508E7"/>
    <w:rsid w:val="00450F3A"/>
    <w:rsid w:val="004511C3"/>
    <w:rsid w:val="004513AE"/>
    <w:rsid w:val="00451AD0"/>
    <w:rsid w:val="00451BA8"/>
    <w:rsid w:val="00452236"/>
    <w:rsid w:val="00452999"/>
    <w:rsid w:val="00452FC0"/>
    <w:rsid w:val="004531D1"/>
    <w:rsid w:val="0045321B"/>
    <w:rsid w:val="004532F7"/>
    <w:rsid w:val="00453301"/>
    <w:rsid w:val="004535BC"/>
    <w:rsid w:val="0045378E"/>
    <w:rsid w:val="00453F73"/>
    <w:rsid w:val="00454146"/>
    <w:rsid w:val="004550E9"/>
    <w:rsid w:val="00455DB9"/>
    <w:rsid w:val="00455E46"/>
    <w:rsid w:val="0045620C"/>
    <w:rsid w:val="004564C2"/>
    <w:rsid w:val="004566F6"/>
    <w:rsid w:val="004604B5"/>
    <w:rsid w:val="00461508"/>
    <w:rsid w:val="0046160A"/>
    <w:rsid w:val="0046188F"/>
    <w:rsid w:val="00461B4E"/>
    <w:rsid w:val="0046277E"/>
    <w:rsid w:val="004627B9"/>
    <w:rsid w:val="0046285F"/>
    <w:rsid w:val="004629E3"/>
    <w:rsid w:val="00462E8C"/>
    <w:rsid w:val="004635F8"/>
    <w:rsid w:val="004639EB"/>
    <w:rsid w:val="00464C55"/>
    <w:rsid w:val="00464D51"/>
    <w:rsid w:val="00464F89"/>
    <w:rsid w:val="00465555"/>
    <w:rsid w:val="00465D8F"/>
    <w:rsid w:val="00466423"/>
    <w:rsid w:val="00466531"/>
    <w:rsid w:val="004665EB"/>
    <w:rsid w:val="00466785"/>
    <w:rsid w:val="00466C35"/>
    <w:rsid w:val="00466F2B"/>
    <w:rsid w:val="004671F1"/>
    <w:rsid w:val="0046723F"/>
    <w:rsid w:val="00467252"/>
    <w:rsid w:val="00467280"/>
    <w:rsid w:val="0046728C"/>
    <w:rsid w:val="00470084"/>
    <w:rsid w:val="004704C1"/>
    <w:rsid w:val="00470E86"/>
    <w:rsid w:val="00471357"/>
    <w:rsid w:val="00471781"/>
    <w:rsid w:val="004718D9"/>
    <w:rsid w:val="00471B7F"/>
    <w:rsid w:val="00471DB4"/>
    <w:rsid w:val="00472027"/>
    <w:rsid w:val="004722BA"/>
    <w:rsid w:val="00472779"/>
    <w:rsid w:val="00472F39"/>
    <w:rsid w:val="00472FF1"/>
    <w:rsid w:val="0047336A"/>
    <w:rsid w:val="0047357C"/>
    <w:rsid w:val="00473617"/>
    <w:rsid w:val="0047486D"/>
    <w:rsid w:val="004749CF"/>
    <w:rsid w:val="00474EE8"/>
    <w:rsid w:val="00475F15"/>
    <w:rsid w:val="00476070"/>
    <w:rsid w:val="0047617B"/>
    <w:rsid w:val="00476261"/>
    <w:rsid w:val="0047641E"/>
    <w:rsid w:val="00476610"/>
    <w:rsid w:val="00476EF2"/>
    <w:rsid w:val="00476F8F"/>
    <w:rsid w:val="00477512"/>
    <w:rsid w:val="004777DC"/>
    <w:rsid w:val="004778F2"/>
    <w:rsid w:val="00477B03"/>
    <w:rsid w:val="004804CF"/>
    <w:rsid w:val="004809F1"/>
    <w:rsid w:val="00481413"/>
    <w:rsid w:val="0048144F"/>
    <w:rsid w:val="004819F1"/>
    <w:rsid w:val="004823E6"/>
    <w:rsid w:val="00482669"/>
    <w:rsid w:val="00482905"/>
    <w:rsid w:val="00482E29"/>
    <w:rsid w:val="00483314"/>
    <w:rsid w:val="0048393C"/>
    <w:rsid w:val="00484962"/>
    <w:rsid w:val="00484E4A"/>
    <w:rsid w:val="00484F07"/>
    <w:rsid w:val="00484F6D"/>
    <w:rsid w:val="00484FB7"/>
    <w:rsid w:val="004853CD"/>
    <w:rsid w:val="0048554D"/>
    <w:rsid w:val="004857DA"/>
    <w:rsid w:val="004860BD"/>
    <w:rsid w:val="004868CA"/>
    <w:rsid w:val="0048699F"/>
    <w:rsid w:val="00490799"/>
    <w:rsid w:val="004907A2"/>
    <w:rsid w:val="00490CCA"/>
    <w:rsid w:val="00490EC7"/>
    <w:rsid w:val="00491508"/>
    <w:rsid w:val="004915F3"/>
    <w:rsid w:val="00491618"/>
    <w:rsid w:val="00492BAF"/>
    <w:rsid w:val="0049326A"/>
    <w:rsid w:val="0049338A"/>
    <w:rsid w:val="0049359C"/>
    <w:rsid w:val="0049370C"/>
    <w:rsid w:val="00493B3A"/>
    <w:rsid w:val="00493C38"/>
    <w:rsid w:val="00493E9F"/>
    <w:rsid w:val="0049417F"/>
    <w:rsid w:val="004959D1"/>
    <w:rsid w:val="004960F7"/>
    <w:rsid w:val="00496183"/>
    <w:rsid w:val="00496216"/>
    <w:rsid w:val="00496323"/>
    <w:rsid w:val="00496BC6"/>
    <w:rsid w:val="00496D41"/>
    <w:rsid w:val="0049702B"/>
    <w:rsid w:val="00497D3C"/>
    <w:rsid w:val="004A0D47"/>
    <w:rsid w:val="004A0EAB"/>
    <w:rsid w:val="004A0EF9"/>
    <w:rsid w:val="004A2BE8"/>
    <w:rsid w:val="004A2CC2"/>
    <w:rsid w:val="004A32F2"/>
    <w:rsid w:val="004A3501"/>
    <w:rsid w:val="004A3C85"/>
    <w:rsid w:val="004A3CFA"/>
    <w:rsid w:val="004A3FCA"/>
    <w:rsid w:val="004A44C7"/>
    <w:rsid w:val="004A5315"/>
    <w:rsid w:val="004A6379"/>
    <w:rsid w:val="004A6602"/>
    <w:rsid w:val="004A6BB7"/>
    <w:rsid w:val="004A6CCC"/>
    <w:rsid w:val="004A6DA6"/>
    <w:rsid w:val="004A6E2E"/>
    <w:rsid w:val="004A7447"/>
    <w:rsid w:val="004A790D"/>
    <w:rsid w:val="004B0F76"/>
    <w:rsid w:val="004B24D4"/>
    <w:rsid w:val="004B3DDF"/>
    <w:rsid w:val="004B3EFA"/>
    <w:rsid w:val="004B4762"/>
    <w:rsid w:val="004B496E"/>
    <w:rsid w:val="004B5813"/>
    <w:rsid w:val="004B5A45"/>
    <w:rsid w:val="004B5A87"/>
    <w:rsid w:val="004B5D7A"/>
    <w:rsid w:val="004B62CE"/>
    <w:rsid w:val="004B7EC0"/>
    <w:rsid w:val="004B7FB5"/>
    <w:rsid w:val="004C004D"/>
    <w:rsid w:val="004C01D4"/>
    <w:rsid w:val="004C0755"/>
    <w:rsid w:val="004C0AF2"/>
    <w:rsid w:val="004C1041"/>
    <w:rsid w:val="004C1532"/>
    <w:rsid w:val="004C18CC"/>
    <w:rsid w:val="004C2171"/>
    <w:rsid w:val="004C24D7"/>
    <w:rsid w:val="004C2794"/>
    <w:rsid w:val="004C29EA"/>
    <w:rsid w:val="004C2A87"/>
    <w:rsid w:val="004C2C47"/>
    <w:rsid w:val="004C2DDF"/>
    <w:rsid w:val="004C38AD"/>
    <w:rsid w:val="004C4611"/>
    <w:rsid w:val="004C4D7B"/>
    <w:rsid w:val="004C4E9F"/>
    <w:rsid w:val="004C4ED3"/>
    <w:rsid w:val="004C53EA"/>
    <w:rsid w:val="004C5986"/>
    <w:rsid w:val="004C5B75"/>
    <w:rsid w:val="004C6335"/>
    <w:rsid w:val="004C667B"/>
    <w:rsid w:val="004C66B9"/>
    <w:rsid w:val="004C687B"/>
    <w:rsid w:val="004C73E8"/>
    <w:rsid w:val="004C7ECD"/>
    <w:rsid w:val="004D0580"/>
    <w:rsid w:val="004D0B2C"/>
    <w:rsid w:val="004D0B3A"/>
    <w:rsid w:val="004D0C29"/>
    <w:rsid w:val="004D0EA1"/>
    <w:rsid w:val="004D0FAE"/>
    <w:rsid w:val="004D222B"/>
    <w:rsid w:val="004D23BA"/>
    <w:rsid w:val="004D2EA5"/>
    <w:rsid w:val="004D321D"/>
    <w:rsid w:val="004D32A6"/>
    <w:rsid w:val="004D38C2"/>
    <w:rsid w:val="004D39F5"/>
    <w:rsid w:val="004D3EC4"/>
    <w:rsid w:val="004D3FE7"/>
    <w:rsid w:val="004D4096"/>
    <w:rsid w:val="004D52F3"/>
    <w:rsid w:val="004D53E5"/>
    <w:rsid w:val="004D54D3"/>
    <w:rsid w:val="004D62D0"/>
    <w:rsid w:val="004D6359"/>
    <w:rsid w:val="004D6396"/>
    <w:rsid w:val="004D6BFF"/>
    <w:rsid w:val="004D7950"/>
    <w:rsid w:val="004D7DA1"/>
    <w:rsid w:val="004E0256"/>
    <w:rsid w:val="004E05FE"/>
    <w:rsid w:val="004E14D9"/>
    <w:rsid w:val="004E1913"/>
    <w:rsid w:val="004E1C91"/>
    <w:rsid w:val="004E1D48"/>
    <w:rsid w:val="004E28BE"/>
    <w:rsid w:val="004E2D8D"/>
    <w:rsid w:val="004E36C5"/>
    <w:rsid w:val="004E36EA"/>
    <w:rsid w:val="004E37B9"/>
    <w:rsid w:val="004E51E2"/>
    <w:rsid w:val="004E553C"/>
    <w:rsid w:val="004E5E48"/>
    <w:rsid w:val="004E6DC4"/>
    <w:rsid w:val="004E728B"/>
    <w:rsid w:val="004E75DC"/>
    <w:rsid w:val="004E7AC7"/>
    <w:rsid w:val="004E7C52"/>
    <w:rsid w:val="004E7D01"/>
    <w:rsid w:val="004F03DA"/>
    <w:rsid w:val="004F070D"/>
    <w:rsid w:val="004F0D2D"/>
    <w:rsid w:val="004F148E"/>
    <w:rsid w:val="004F1B20"/>
    <w:rsid w:val="004F1F37"/>
    <w:rsid w:val="004F21C1"/>
    <w:rsid w:val="004F242A"/>
    <w:rsid w:val="004F25CC"/>
    <w:rsid w:val="004F2616"/>
    <w:rsid w:val="004F295B"/>
    <w:rsid w:val="004F335D"/>
    <w:rsid w:val="004F3AF1"/>
    <w:rsid w:val="004F4308"/>
    <w:rsid w:val="004F50EA"/>
    <w:rsid w:val="004F5297"/>
    <w:rsid w:val="004F55FB"/>
    <w:rsid w:val="004F5C90"/>
    <w:rsid w:val="004F5EDF"/>
    <w:rsid w:val="004F6240"/>
    <w:rsid w:val="004F6820"/>
    <w:rsid w:val="004F6E4D"/>
    <w:rsid w:val="004F6ECB"/>
    <w:rsid w:val="004F70FF"/>
    <w:rsid w:val="005001E4"/>
    <w:rsid w:val="00500402"/>
    <w:rsid w:val="0050046E"/>
    <w:rsid w:val="005007F6"/>
    <w:rsid w:val="00500A68"/>
    <w:rsid w:val="005012A9"/>
    <w:rsid w:val="00501A12"/>
    <w:rsid w:val="00501C93"/>
    <w:rsid w:val="005022D1"/>
    <w:rsid w:val="005024D5"/>
    <w:rsid w:val="00502B96"/>
    <w:rsid w:val="0050309C"/>
    <w:rsid w:val="00503167"/>
    <w:rsid w:val="005034A7"/>
    <w:rsid w:val="00503B36"/>
    <w:rsid w:val="00504768"/>
    <w:rsid w:val="005055DC"/>
    <w:rsid w:val="00505DF6"/>
    <w:rsid w:val="00506034"/>
    <w:rsid w:val="005066A7"/>
    <w:rsid w:val="00506C18"/>
    <w:rsid w:val="00507814"/>
    <w:rsid w:val="00507D73"/>
    <w:rsid w:val="005103D4"/>
    <w:rsid w:val="005105F8"/>
    <w:rsid w:val="005106A2"/>
    <w:rsid w:val="00510D44"/>
    <w:rsid w:val="00510E61"/>
    <w:rsid w:val="00511160"/>
    <w:rsid w:val="005123A5"/>
    <w:rsid w:val="0051327C"/>
    <w:rsid w:val="0051346D"/>
    <w:rsid w:val="0051346F"/>
    <w:rsid w:val="00513544"/>
    <w:rsid w:val="0051375A"/>
    <w:rsid w:val="00513EAE"/>
    <w:rsid w:val="00513F67"/>
    <w:rsid w:val="0051413C"/>
    <w:rsid w:val="0051434F"/>
    <w:rsid w:val="00515270"/>
    <w:rsid w:val="005154F8"/>
    <w:rsid w:val="005159AA"/>
    <w:rsid w:val="00515FCE"/>
    <w:rsid w:val="00516065"/>
    <w:rsid w:val="0051622F"/>
    <w:rsid w:val="00516806"/>
    <w:rsid w:val="00516C60"/>
    <w:rsid w:val="0052003C"/>
    <w:rsid w:val="00520066"/>
    <w:rsid w:val="005202C3"/>
    <w:rsid w:val="005202E2"/>
    <w:rsid w:val="0052098C"/>
    <w:rsid w:val="00520FFD"/>
    <w:rsid w:val="00521032"/>
    <w:rsid w:val="005213DC"/>
    <w:rsid w:val="00521733"/>
    <w:rsid w:val="00522657"/>
    <w:rsid w:val="005227E9"/>
    <w:rsid w:val="00522E7F"/>
    <w:rsid w:val="0052326D"/>
    <w:rsid w:val="005235F0"/>
    <w:rsid w:val="00524149"/>
    <w:rsid w:val="005242B0"/>
    <w:rsid w:val="00524F7C"/>
    <w:rsid w:val="00525A49"/>
    <w:rsid w:val="00525D40"/>
    <w:rsid w:val="005262D1"/>
    <w:rsid w:val="00526508"/>
    <w:rsid w:val="00527C22"/>
    <w:rsid w:val="0053040C"/>
    <w:rsid w:val="00530876"/>
    <w:rsid w:val="0053113B"/>
    <w:rsid w:val="0053121F"/>
    <w:rsid w:val="005315DE"/>
    <w:rsid w:val="00531F68"/>
    <w:rsid w:val="00533945"/>
    <w:rsid w:val="00533946"/>
    <w:rsid w:val="00533979"/>
    <w:rsid w:val="00533EA6"/>
    <w:rsid w:val="0053424B"/>
    <w:rsid w:val="005342D7"/>
    <w:rsid w:val="0053485A"/>
    <w:rsid w:val="00534965"/>
    <w:rsid w:val="00534D5C"/>
    <w:rsid w:val="00535613"/>
    <w:rsid w:val="00535763"/>
    <w:rsid w:val="005359EB"/>
    <w:rsid w:val="00535A2E"/>
    <w:rsid w:val="0053651C"/>
    <w:rsid w:val="0053701C"/>
    <w:rsid w:val="00537441"/>
    <w:rsid w:val="00537AB6"/>
    <w:rsid w:val="0054024F"/>
    <w:rsid w:val="00540681"/>
    <w:rsid w:val="0054081A"/>
    <w:rsid w:val="0054119A"/>
    <w:rsid w:val="00541BDA"/>
    <w:rsid w:val="00541C1E"/>
    <w:rsid w:val="005421DC"/>
    <w:rsid w:val="005422BB"/>
    <w:rsid w:val="0054254A"/>
    <w:rsid w:val="00542567"/>
    <w:rsid w:val="005434A5"/>
    <w:rsid w:val="005436D2"/>
    <w:rsid w:val="0054379F"/>
    <w:rsid w:val="00543A6A"/>
    <w:rsid w:val="00543AE6"/>
    <w:rsid w:val="00543AFD"/>
    <w:rsid w:val="00544BC6"/>
    <w:rsid w:val="0054500B"/>
    <w:rsid w:val="00545117"/>
    <w:rsid w:val="00545245"/>
    <w:rsid w:val="0054577D"/>
    <w:rsid w:val="005465A2"/>
    <w:rsid w:val="005466B5"/>
    <w:rsid w:val="005472EA"/>
    <w:rsid w:val="005476F8"/>
    <w:rsid w:val="0054772F"/>
    <w:rsid w:val="00547D61"/>
    <w:rsid w:val="00547DB4"/>
    <w:rsid w:val="00547F25"/>
    <w:rsid w:val="005501D4"/>
    <w:rsid w:val="005502B6"/>
    <w:rsid w:val="005502D7"/>
    <w:rsid w:val="00550B56"/>
    <w:rsid w:val="00551029"/>
    <w:rsid w:val="005510CF"/>
    <w:rsid w:val="00551892"/>
    <w:rsid w:val="00552445"/>
    <w:rsid w:val="005525BF"/>
    <w:rsid w:val="005527C6"/>
    <w:rsid w:val="00552CDC"/>
    <w:rsid w:val="00553056"/>
    <w:rsid w:val="00553254"/>
    <w:rsid w:val="005532B4"/>
    <w:rsid w:val="00553A08"/>
    <w:rsid w:val="00554314"/>
    <w:rsid w:val="005543FE"/>
    <w:rsid w:val="00554BB8"/>
    <w:rsid w:val="005561DC"/>
    <w:rsid w:val="005562AE"/>
    <w:rsid w:val="00557779"/>
    <w:rsid w:val="00557DCC"/>
    <w:rsid w:val="00557EB2"/>
    <w:rsid w:val="00560ABB"/>
    <w:rsid w:val="00560F0F"/>
    <w:rsid w:val="00561078"/>
    <w:rsid w:val="00562676"/>
    <w:rsid w:val="00562829"/>
    <w:rsid w:val="005629B3"/>
    <w:rsid w:val="00562AB0"/>
    <w:rsid w:val="00562F6E"/>
    <w:rsid w:val="0056308A"/>
    <w:rsid w:val="00563232"/>
    <w:rsid w:val="005636D1"/>
    <w:rsid w:val="00564177"/>
    <w:rsid w:val="0056423A"/>
    <w:rsid w:val="00565213"/>
    <w:rsid w:val="00565C2C"/>
    <w:rsid w:val="005660BC"/>
    <w:rsid w:val="0056647E"/>
    <w:rsid w:val="00567E88"/>
    <w:rsid w:val="00567ECB"/>
    <w:rsid w:val="005709E1"/>
    <w:rsid w:val="0057128A"/>
    <w:rsid w:val="00571757"/>
    <w:rsid w:val="0057201E"/>
    <w:rsid w:val="005720BD"/>
    <w:rsid w:val="005720C1"/>
    <w:rsid w:val="0057218E"/>
    <w:rsid w:val="005724F6"/>
    <w:rsid w:val="00572590"/>
    <w:rsid w:val="00572E71"/>
    <w:rsid w:val="0057363A"/>
    <w:rsid w:val="00573AC4"/>
    <w:rsid w:val="00573E54"/>
    <w:rsid w:val="00574259"/>
    <w:rsid w:val="00574645"/>
    <w:rsid w:val="00574B3D"/>
    <w:rsid w:val="005763A3"/>
    <w:rsid w:val="00576552"/>
    <w:rsid w:val="0057789D"/>
    <w:rsid w:val="00577944"/>
    <w:rsid w:val="00577BFB"/>
    <w:rsid w:val="00577FAC"/>
    <w:rsid w:val="005801FC"/>
    <w:rsid w:val="0058040B"/>
    <w:rsid w:val="005807D8"/>
    <w:rsid w:val="0058127B"/>
    <w:rsid w:val="00581702"/>
    <w:rsid w:val="005827D9"/>
    <w:rsid w:val="0058287B"/>
    <w:rsid w:val="005832CD"/>
    <w:rsid w:val="0058341F"/>
    <w:rsid w:val="00583842"/>
    <w:rsid w:val="00583DAD"/>
    <w:rsid w:val="00583FEE"/>
    <w:rsid w:val="00584D64"/>
    <w:rsid w:val="00584F22"/>
    <w:rsid w:val="005851DF"/>
    <w:rsid w:val="00585285"/>
    <w:rsid w:val="005858EF"/>
    <w:rsid w:val="00585BA9"/>
    <w:rsid w:val="00586CA1"/>
    <w:rsid w:val="0058713F"/>
    <w:rsid w:val="00587359"/>
    <w:rsid w:val="005878B2"/>
    <w:rsid w:val="00587A5D"/>
    <w:rsid w:val="005903C9"/>
    <w:rsid w:val="005907AD"/>
    <w:rsid w:val="00590B50"/>
    <w:rsid w:val="00591450"/>
    <w:rsid w:val="00591BBB"/>
    <w:rsid w:val="005927A1"/>
    <w:rsid w:val="00592DC0"/>
    <w:rsid w:val="005935AB"/>
    <w:rsid w:val="00594014"/>
    <w:rsid w:val="00595016"/>
    <w:rsid w:val="00595133"/>
    <w:rsid w:val="005951DE"/>
    <w:rsid w:val="00595322"/>
    <w:rsid w:val="0059590A"/>
    <w:rsid w:val="00596ADA"/>
    <w:rsid w:val="00596CD6"/>
    <w:rsid w:val="00596DBA"/>
    <w:rsid w:val="005972F3"/>
    <w:rsid w:val="005976C4"/>
    <w:rsid w:val="005979B0"/>
    <w:rsid w:val="00597AAE"/>
    <w:rsid w:val="005A0015"/>
    <w:rsid w:val="005A01AA"/>
    <w:rsid w:val="005A04A6"/>
    <w:rsid w:val="005A0CA1"/>
    <w:rsid w:val="005A0F3A"/>
    <w:rsid w:val="005A0F9A"/>
    <w:rsid w:val="005A19DD"/>
    <w:rsid w:val="005A1B4A"/>
    <w:rsid w:val="005A1E43"/>
    <w:rsid w:val="005A222C"/>
    <w:rsid w:val="005A2AF2"/>
    <w:rsid w:val="005A2B6E"/>
    <w:rsid w:val="005A32C6"/>
    <w:rsid w:val="005A3707"/>
    <w:rsid w:val="005A3FE0"/>
    <w:rsid w:val="005A40EB"/>
    <w:rsid w:val="005A48AC"/>
    <w:rsid w:val="005A4DF8"/>
    <w:rsid w:val="005A4F2E"/>
    <w:rsid w:val="005A535E"/>
    <w:rsid w:val="005A580B"/>
    <w:rsid w:val="005A5B7E"/>
    <w:rsid w:val="005A5F07"/>
    <w:rsid w:val="005A6146"/>
    <w:rsid w:val="005A6874"/>
    <w:rsid w:val="005A6BF3"/>
    <w:rsid w:val="005A6E7C"/>
    <w:rsid w:val="005A7541"/>
    <w:rsid w:val="005A7671"/>
    <w:rsid w:val="005A78C8"/>
    <w:rsid w:val="005A7CD4"/>
    <w:rsid w:val="005B0254"/>
    <w:rsid w:val="005B0699"/>
    <w:rsid w:val="005B0775"/>
    <w:rsid w:val="005B0E76"/>
    <w:rsid w:val="005B1008"/>
    <w:rsid w:val="005B1426"/>
    <w:rsid w:val="005B1F62"/>
    <w:rsid w:val="005B2211"/>
    <w:rsid w:val="005B2AB6"/>
    <w:rsid w:val="005B2F3C"/>
    <w:rsid w:val="005B41F8"/>
    <w:rsid w:val="005B4937"/>
    <w:rsid w:val="005B49E1"/>
    <w:rsid w:val="005B4B30"/>
    <w:rsid w:val="005B5539"/>
    <w:rsid w:val="005B7066"/>
    <w:rsid w:val="005B71DD"/>
    <w:rsid w:val="005B7248"/>
    <w:rsid w:val="005B731D"/>
    <w:rsid w:val="005B74DA"/>
    <w:rsid w:val="005B76B0"/>
    <w:rsid w:val="005C02F6"/>
    <w:rsid w:val="005C06C9"/>
    <w:rsid w:val="005C0908"/>
    <w:rsid w:val="005C0A8E"/>
    <w:rsid w:val="005C0C2B"/>
    <w:rsid w:val="005C1767"/>
    <w:rsid w:val="005C185C"/>
    <w:rsid w:val="005C1C76"/>
    <w:rsid w:val="005C2945"/>
    <w:rsid w:val="005C3C99"/>
    <w:rsid w:val="005C4031"/>
    <w:rsid w:val="005C42EF"/>
    <w:rsid w:val="005C43BD"/>
    <w:rsid w:val="005C50A7"/>
    <w:rsid w:val="005C56C3"/>
    <w:rsid w:val="005C56C4"/>
    <w:rsid w:val="005C5841"/>
    <w:rsid w:val="005C5B6F"/>
    <w:rsid w:val="005C63E8"/>
    <w:rsid w:val="005C64EF"/>
    <w:rsid w:val="005C67C1"/>
    <w:rsid w:val="005C74B6"/>
    <w:rsid w:val="005C782A"/>
    <w:rsid w:val="005C7EAC"/>
    <w:rsid w:val="005D08C4"/>
    <w:rsid w:val="005D09A8"/>
    <w:rsid w:val="005D0AE0"/>
    <w:rsid w:val="005D1C90"/>
    <w:rsid w:val="005D20D8"/>
    <w:rsid w:val="005D27DE"/>
    <w:rsid w:val="005D2E88"/>
    <w:rsid w:val="005D3412"/>
    <w:rsid w:val="005D37EA"/>
    <w:rsid w:val="005D4479"/>
    <w:rsid w:val="005D4F0A"/>
    <w:rsid w:val="005D529B"/>
    <w:rsid w:val="005D560E"/>
    <w:rsid w:val="005D5678"/>
    <w:rsid w:val="005D5719"/>
    <w:rsid w:val="005D580D"/>
    <w:rsid w:val="005D5915"/>
    <w:rsid w:val="005D6116"/>
    <w:rsid w:val="005D6246"/>
    <w:rsid w:val="005D6306"/>
    <w:rsid w:val="005D6D63"/>
    <w:rsid w:val="005D7069"/>
    <w:rsid w:val="005E0135"/>
    <w:rsid w:val="005E01AC"/>
    <w:rsid w:val="005E02F5"/>
    <w:rsid w:val="005E0510"/>
    <w:rsid w:val="005E055E"/>
    <w:rsid w:val="005E0654"/>
    <w:rsid w:val="005E11E4"/>
    <w:rsid w:val="005E1454"/>
    <w:rsid w:val="005E176E"/>
    <w:rsid w:val="005E197A"/>
    <w:rsid w:val="005E1984"/>
    <w:rsid w:val="005E1D5A"/>
    <w:rsid w:val="005E218E"/>
    <w:rsid w:val="005E23AA"/>
    <w:rsid w:val="005E28A1"/>
    <w:rsid w:val="005E2B79"/>
    <w:rsid w:val="005E35A0"/>
    <w:rsid w:val="005E37E5"/>
    <w:rsid w:val="005E3B7C"/>
    <w:rsid w:val="005E4141"/>
    <w:rsid w:val="005E569C"/>
    <w:rsid w:val="005E5A27"/>
    <w:rsid w:val="005E7220"/>
    <w:rsid w:val="005E72CB"/>
    <w:rsid w:val="005E7646"/>
    <w:rsid w:val="005E77F9"/>
    <w:rsid w:val="005E7837"/>
    <w:rsid w:val="005F05FE"/>
    <w:rsid w:val="005F095C"/>
    <w:rsid w:val="005F0B56"/>
    <w:rsid w:val="005F0D1B"/>
    <w:rsid w:val="005F10AA"/>
    <w:rsid w:val="005F1865"/>
    <w:rsid w:val="005F1D43"/>
    <w:rsid w:val="005F2FB3"/>
    <w:rsid w:val="005F308C"/>
    <w:rsid w:val="005F30C5"/>
    <w:rsid w:val="005F3B8D"/>
    <w:rsid w:val="005F727C"/>
    <w:rsid w:val="005F78BB"/>
    <w:rsid w:val="005F7FA2"/>
    <w:rsid w:val="006007BD"/>
    <w:rsid w:val="00600D4C"/>
    <w:rsid w:val="006013C8"/>
    <w:rsid w:val="00601429"/>
    <w:rsid w:val="0060196C"/>
    <w:rsid w:val="00601D37"/>
    <w:rsid w:val="0060216E"/>
    <w:rsid w:val="0060270D"/>
    <w:rsid w:val="00602FBD"/>
    <w:rsid w:val="0060361A"/>
    <w:rsid w:val="00603D5C"/>
    <w:rsid w:val="00604342"/>
    <w:rsid w:val="0060434B"/>
    <w:rsid w:val="00604611"/>
    <w:rsid w:val="00604740"/>
    <w:rsid w:val="006047C1"/>
    <w:rsid w:val="00604C7C"/>
    <w:rsid w:val="006053BA"/>
    <w:rsid w:val="006056F1"/>
    <w:rsid w:val="00606910"/>
    <w:rsid w:val="00606994"/>
    <w:rsid w:val="006073C7"/>
    <w:rsid w:val="00607A8F"/>
    <w:rsid w:val="00607D38"/>
    <w:rsid w:val="0061026B"/>
    <w:rsid w:val="0061089F"/>
    <w:rsid w:val="00610B54"/>
    <w:rsid w:val="00611158"/>
    <w:rsid w:val="006113D4"/>
    <w:rsid w:val="00611586"/>
    <w:rsid w:val="006126F5"/>
    <w:rsid w:val="00612A04"/>
    <w:rsid w:val="00612D26"/>
    <w:rsid w:val="0061333F"/>
    <w:rsid w:val="006137BD"/>
    <w:rsid w:val="00614F15"/>
    <w:rsid w:val="00615351"/>
    <w:rsid w:val="0061580F"/>
    <w:rsid w:val="00615855"/>
    <w:rsid w:val="00615BDD"/>
    <w:rsid w:val="006165F5"/>
    <w:rsid w:val="00620620"/>
    <w:rsid w:val="00620DA8"/>
    <w:rsid w:val="00620F56"/>
    <w:rsid w:val="00621887"/>
    <w:rsid w:val="00621FAC"/>
    <w:rsid w:val="00622110"/>
    <w:rsid w:val="006223F0"/>
    <w:rsid w:val="00622C83"/>
    <w:rsid w:val="00623B50"/>
    <w:rsid w:val="00623DD1"/>
    <w:rsid w:val="00623F3F"/>
    <w:rsid w:val="0062451C"/>
    <w:rsid w:val="00624520"/>
    <w:rsid w:val="006246C2"/>
    <w:rsid w:val="0062480E"/>
    <w:rsid w:val="00625B86"/>
    <w:rsid w:val="00626DCF"/>
    <w:rsid w:val="006271F5"/>
    <w:rsid w:val="00630592"/>
    <w:rsid w:val="00630862"/>
    <w:rsid w:val="00630C60"/>
    <w:rsid w:val="00631842"/>
    <w:rsid w:val="00632300"/>
    <w:rsid w:val="00632BB7"/>
    <w:rsid w:val="00632D56"/>
    <w:rsid w:val="006333CC"/>
    <w:rsid w:val="006336E0"/>
    <w:rsid w:val="00634129"/>
    <w:rsid w:val="00635312"/>
    <w:rsid w:val="00635B36"/>
    <w:rsid w:val="00635C00"/>
    <w:rsid w:val="00635E81"/>
    <w:rsid w:val="00636268"/>
    <w:rsid w:val="00636871"/>
    <w:rsid w:val="00636DF8"/>
    <w:rsid w:val="006370A9"/>
    <w:rsid w:val="00637368"/>
    <w:rsid w:val="00637663"/>
    <w:rsid w:val="006379D9"/>
    <w:rsid w:val="006400FA"/>
    <w:rsid w:val="00640EE1"/>
    <w:rsid w:val="00640F4E"/>
    <w:rsid w:val="00641103"/>
    <w:rsid w:val="0064128F"/>
    <w:rsid w:val="006416D3"/>
    <w:rsid w:val="00641E9F"/>
    <w:rsid w:val="0064218D"/>
    <w:rsid w:val="0064303B"/>
    <w:rsid w:val="00643314"/>
    <w:rsid w:val="00643619"/>
    <w:rsid w:val="00643728"/>
    <w:rsid w:val="006437D9"/>
    <w:rsid w:val="00643DE0"/>
    <w:rsid w:val="00643E10"/>
    <w:rsid w:val="00644208"/>
    <w:rsid w:val="0064437D"/>
    <w:rsid w:val="006448A4"/>
    <w:rsid w:val="006449B8"/>
    <w:rsid w:val="00644B9E"/>
    <w:rsid w:val="00644DD8"/>
    <w:rsid w:val="00644E85"/>
    <w:rsid w:val="0064555C"/>
    <w:rsid w:val="00645C3F"/>
    <w:rsid w:val="00645E9D"/>
    <w:rsid w:val="006461C6"/>
    <w:rsid w:val="00646E6B"/>
    <w:rsid w:val="00647684"/>
    <w:rsid w:val="00650008"/>
    <w:rsid w:val="00650311"/>
    <w:rsid w:val="006509ED"/>
    <w:rsid w:val="00650F80"/>
    <w:rsid w:val="006513D2"/>
    <w:rsid w:val="00651548"/>
    <w:rsid w:val="006516D8"/>
    <w:rsid w:val="00651A30"/>
    <w:rsid w:val="00652C52"/>
    <w:rsid w:val="00652F4F"/>
    <w:rsid w:val="006538C0"/>
    <w:rsid w:val="00653BD9"/>
    <w:rsid w:val="00653DB0"/>
    <w:rsid w:val="00654112"/>
    <w:rsid w:val="00654552"/>
    <w:rsid w:val="00654FF2"/>
    <w:rsid w:val="00655031"/>
    <w:rsid w:val="00655080"/>
    <w:rsid w:val="00655286"/>
    <w:rsid w:val="0065584F"/>
    <w:rsid w:val="006562B6"/>
    <w:rsid w:val="00656329"/>
    <w:rsid w:val="006574E3"/>
    <w:rsid w:val="00660203"/>
    <w:rsid w:val="0066052C"/>
    <w:rsid w:val="0066063F"/>
    <w:rsid w:val="00661451"/>
    <w:rsid w:val="006616F1"/>
    <w:rsid w:val="00661EA6"/>
    <w:rsid w:val="00662BB0"/>
    <w:rsid w:val="00662BEC"/>
    <w:rsid w:val="00663878"/>
    <w:rsid w:val="00663F47"/>
    <w:rsid w:val="006642E4"/>
    <w:rsid w:val="006643FE"/>
    <w:rsid w:val="00664B2D"/>
    <w:rsid w:val="0066528A"/>
    <w:rsid w:val="006653E8"/>
    <w:rsid w:val="0066596C"/>
    <w:rsid w:val="00666CED"/>
    <w:rsid w:val="00667144"/>
    <w:rsid w:val="00667504"/>
    <w:rsid w:val="00667773"/>
    <w:rsid w:val="00670743"/>
    <w:rsid w:val="006708B8"/>
    <w:rsid w:val="0067146F"/>
    <w:rsid w:val="0067157C"/>
    <w:rsid w:val="00671CB7"/>
    <w:rsid w:val="00671E09"/>
    <w:rsid w:val="00672004"/>
    <w:rsid w:val="00672AFC"/>
    <w:rsid w:val="00673774"/>
    <w:rsid w:val="00673873"/>
    <w:rsid w:val="006741FE"/>
    <w:rsid w:val="00674289"/>
    <w:rsid w:val="00674A20"/>
    <w:rsid w:val="00674E00"/>
    <w:rsid w:val="006760C9"/>
    <w:rsid w:val="00676442"/>
    <w:rsid w:val="00676950"/>
    <w:rsid w:val="006770A1"/>
    <w:rsid w:val="00677E84"/>
    <w:rsid w:val="00677FF7"/>
    <w:rsid w:val="00680192"/>
    <w:rsid w:val="0068045E"/>
    <w:rsid w:val="00680A85"/>
    <w:rsid w:val="00680CCA"/>
    <w:rsid w:val="006810D0"/>
    <w:rsid w:val="00681116"/>
    <w:rsid w:val="00681509"/>
    <w:rsid w:val="006818F7"/>
    <w:rsid w:val="00681974"/>
    <w:rsid w:val="00681A71"/>
    <w:rsid w:val="00681ADF"/>
    <w:rsid w:val="00682543"/>
    <w:rsid w:val="0068289E"/>
    <w:rsid w:val="00682AAE"/>
    <w:rsid w:val="0068343D"/>
    <w:rsid w:val="006839E1"/>
    <w:rsid w:val="00683BA0"/>
    <w:rsid w:val="00683C24"/>
    <w:rsid w:val="0068450B"/>
    <w:rsid w:val="00684840"/>
    <w:rsid w:val="00684A63"/>
    <w:rsid w:val="00684ABE"/>
    <w:rsid w:val="00684C5D"/>
    <w:rsid w:val="00684D4C"/>
    <w:rsid w:val="00684DF2"/>
    <w:rsid w:val="00685802"/>
    <w:rsid w:val="00685DBA"/>
    <w:rsid w:val="00685EBE"/>
    <w:rsid w:val="00685F7C"/>
    <w:rsid w:val="0068656A"/>
    <w:rsid w:val="00686A8B"/>
    <w:rsid w:val="00686FB2"/>
    <w:rsid w:val="00687059"/>
    <w:rsid w:val="00690285"/>
    <w:rsid w:val="00690EE2"/>
    <w:rsid w:val="00690FCB"/>
    <w:rsid w:val="006918C7"/>
    <w:rsid w:val="00691ACB"/>
    <w:rsid w:val="00691FBD"/>
    <w:rsid w:val="00692ACE"/>
    <w:rsid w:val="006930FF"/>
    <w:rsid w:val="006935A8"/>
    <w:rsid w:val="0069362F"/>
    <w:rsid w:val="00693854"/>
    <w:rsid w:val="00693E04"/>
    <w:rsid w:val="00694BEB"/>
    <w:rsid w:val="00694E79"/>
    <w:rsid w:val="00694FF6"/>
    <w:rsid w:val="00696196"/>
    <w:rsid w:val="0069619C"/>
    <w:rsid w:val="0069624E"/>
    <w:rsid w:val="00696E25"/>
    <w:rsid w:val="006972CA"/>
    <w:rsid w:val="006974F8"/>
    <w:rsid w:val="00697BBF"/>
    <w:rsid w:val="00697FED"/>
    <w:rsid w:val="006A06FC"/>
    <w:rsid w:val="006A0E20"/>
    <w:rsid w:val="006A164F"/>
    <w:rsid w:val="006A1DC2"/>
    <w:rsid w:val="006A24E3"/>
    <w:rsid w:val="006A3070"/>
    <w:rsid w:val="006A36F7"/>
    <w:rsid w:val="006A413C"/>
    <w:rsid w:val="006A5695"/>
    <w:rsid w:val="006A635B"/>
    <w:rsid w:val="006A65B5"/>
    <w:rsid w:val="006A6AE6"/>
    <w:rsid w:val="006A7723"/>
    <w:rsid w:val="006A7984"/>
    <w:rsid w:val="006B022C"/>
    <w:rsid w:val="006B0439"/>
    <w:rsid w:val="006B0D57"/>
    <w:rsid w:val="006B22E8"/>
    <w:rsid w:val="006B2322"/>
    <w:rsid w:val="006B2598"/>
    <w:rsid w:val="006B33EA"/>
    <w:rsid w:val="006B343E"/>
    <w:rsid w:val="006B37B9"/>
    <w:rsid w:val="006B3862"/>
    <w:rsid w:val="006B3904"/>
    <w:rsid w:val="006B5B7D"/>
    <w:rsid w:val="006B5CCE"/>
    <w:rsid w:val="006B608D"/>
    <w:rsid w:val="006B68BA"/>
    <w:rsid w:val="006B6969"/>
    <w:rsid w:val="006B7041"/>
    <w:rsid w:val="006B741A"/>
    <w:rsid w:val="006B78D0"/>
    <w:rsid w:val="006B7D15"/>
    <w:rsid w:val="006C002C"/>
    <w:rsid w:val="006C0435"/>
    <w:rsid w:val="006C0D5E"/>
    <w:rsid w:val="006C12CE"/>
    <w:rsid w:val="006C17F8"/>
    <w:rsid w:val="006C1E05"/>
    <w:rsid w:val="006C212C"/>
    <w:rsid w:val="006C235F"/>
    <w:rsid w:val="006C264B"/>
    <w:rsid w:val="006C28C2"/>
    <w:rsid w:val="006C2C79"/>
    <w:rsid w:val="006C3644"/>
    <w:rsid w:val="006C37FB"/>
    <w:rsid w:val="006C4789"/>
    <w:rsid w:val="006C4C24"/>
    <w:rsid w:val="006C4CE7"/>
    <w:rsid w:val="006C4D8B"/>
    <w:rsid w:val="006C5062"/>
    <w:rsid w:val="006C5B46"/>
    <w:rsid w:val="006C5C4C"/>
    <w:rsid w:val="006C6D19"/>
    <w:rsid w:val="006C6E39"/>
    <w:rsid w:val="006D03C0"/>
    <w:rsid w:val="006D0794"/>
    <w:rsid w:val="006D0B53"/>
    <w:rsid w:val="006D0BD3"/>
    <w:rsid w:val="006D0ECF"/>
    <w:rsid w:val="006D1793"/>
    <w:rsid w:val="006D1A90"/>
    <w:rsid w:val="006D2517"/>
    <w:rsid w:val="006D2F55"/>
    <w:rsid w:val="006D3302"/>
    <w:rsid w:val="006D3385"/>
    <w:rsid w:val="006D3D5B"/>
    <w:rsid w:val="006D3D74"/>
    <w:rsid w:val="006D40E5"/>
    <w:rsid w:val="006D44BD"/>
    <w:rsid w:val="006D4C92"/>
    <w:rsid w:val="006D4EB6"/>
    <w:rsid w:val="006D50E5"/>
    <w:rsid w:val="006D5270"/>
    <w:rsid w:val="006D5949"/>
    <w:rsid w:val="006D5A9C"/>
    <w:rsid w:val="006D64CB"/>
    <w:rsid w:val="006D65BC"/>
    <w:rsid w:val="006D67E9"/>
    <w:rsid w:val="006D72A2"/>
    <w:rsid w:val="006D7603"/>
    <w:rsid w:val="006D7FBC"/>
    <w:rsid w:val="006E06BE"/>
    <w:rsid w:val="006E0C51"/>
    <w:rsid w:val="006E0E49"/>
    <w:rsid w:val="006E1234"/>
    <w:rsid w:val="006E1BEA"/>
    <w:rsid w:val="006E1F42"/>
    <w:rsid w:val="006E241C"/>
    <w:rsid w:val="006E27AA"/>
    <w:rsid w:val="006E2AA9"/>
    <w:rsid w:val="006E35BF"/>
    <w:rsid w:val="006E4CD0"/>
    <w:rsid w:val="006E4CF2"/>
    <w:rsid w:val="006E5190"/>
    <w:rsid w:val="006E5DFA"/>
    <w:rsid w:val="006E6003"/>
    <w:rsid w:val="006E69D5"/>
    <w:rsid w:val="006E70FE"/>
    <w:rsid w:val="006E743C"/>
    <w:rsid w:val="006E781A"/>
    <w:rsid w:val="006E7850"/>
    <w:rsid w:val="006F15F9"/>
    <w:rsid w:val="006F1652"/>
    <w:rsid w:val="006F194B"/>
    <w:rsid w:val="006F19D8"/>
    <w:rsid w:val="006F24EF"/>
    <w:rsid w:val="006F2AA6"/>
    <w:rsid w:val="006F2E9B"/>
    <w:rsid w:val="006F3E92"/>
    <w:rsid w:val="006F3FAD"/>
    <w:rsid w:val="006F416C"/>
    <w:rsid w:val="006F46D6"/>
    <w:rsid w:val="006F4BBB"/>
    <w:rsid w:val="006F5FE4"/>
    <w:rsid w:val="006F6CAA"/>
    <w:rsid w:val="006F7DF0"/>
    <w:rsid w:val="00700755"/>
    <w:rsid w:val="00700F25"/>
    <w:rsid w:val="00700F81"/>
    <w:rsid w:val="0070171B"/>
    <w:rsid w:val="00701B9E"/>
    <w:rsid w:val="00701C4D"/>
    <w:rsid w:val="00701DB7"/>
    <w:rsid w:val="00701DDA"/>
    <w:rsid w:val="007024C0"/>
    <w:rsid w:val="007028CB"/>
    <w:rsid w:val="007028D9"/>
    <w:rsid w:val="007028EF"/>
    <w:rsid w:val="00702C9D"/>
    <w:rsid w:val="00702F5D"/>
    <w:rsid w:val="00702FC7"/>
    <w:rsid w:val="0070339F"/>
    <w:rsid w:val="007036AF"/>
    <w:rsid w:val="00703CEE"/>
    <w:rsid w:val="00704CE4"/>
    <w:rsid w:val="007062DE"/>
    <w:rsid w:val="00706B1A"/>
    <w:rsid w:val="00707218"/>
    <w:rsid w:val="00707640"/>
    <w:rsid w:val="007077A1"/>
    <w:rsid w:val="00707CFF"/>
    <w:rsid w:val="0071048B"/>
    <w:rsid w:val="00710D04"/>
    <w:rsid w:val="007113FA"/>
    <w:rsid w:val="00711935"/>
    <w:rsid w:val="00711AB2"/>
    <w:rsid w:val="00711F3B"/>
    <w:rsid w:val="00712B1D"/>
    <w:rsid w:val="00713ABE"/>
    <w:rsid w:val="00714082"/>
    <w:rsid w:val="007141AA"/>
    <w:rsid w:val="00714954"/>
    <w:rsid w:val="00715718"/>
    <w:rsid w:val="00715751"/>
    <w:rsid w:val="00715ABB"/>
    <w:rsid w:val="00715D38"/>
    <w:rsid w:val="007166C8"/>
    <w:rsid w:val="00716A6A"/>
    <w:rsid w:val="00716D6A"/>
    <w:rsid w:val="007171BA"/>
    <w:rsid w:val="00717616"/>
    <w:rsid w:val="007203AC"/>
    <w:rsid w:val="00720AB7"/>
    <w:rsid w:val="0072166D"/>
    <w:rsid w:val="00721A9B"/>
    <w:rsid w:val="007225AB"/>
    <w:rsid w:val="00722B61"/>
    <w:rsid w:val="007234B5"/>
    <w:rsid w:val="00723EC3"/>
    <w:rsid w:val="007242C3"/>
    <w:rsid w:val="0072551C"/>
    <w:rsid w:val="007256DC"/>
    <w:rsid w:val="007265D1"/>
    <w:rsid w:val="0072731E"/>
    <w:rsid w:val="00727915"/>
    <w:rsid w:val="00727BA0"/>
    <w:rsid w:val="00727D24"/>
    <w:rsid w:val="00730FFF"/>
    <w:rsid w:val="0073143A"/>
    <w:rsid w:val="00731469"/>
    <w:rsid w:val="00731703"/>
    <w:rsid w:val="0073175E"/>
    <w:rsid w:val="00731A83"/>
    <w:rsid w:val="007322B1"/>
    <w:rsid w:val="007324C4"/>
    <w:rsid w:val="007325D9"/>
    <w:rsid w:val="007327D2"/>
    <w:rsid w:val="00732979"/>
    <w:rsid w:val="0073318F"/>
    <w:rsid w:val="007335D3"/>
    <w:rsid w:val="00733808"/>
    <w:rsid w:val="0073390A"/>
    <w:rsid w:val="0073413F"/>
    <w:rsid w:val="00734D18"/>
    <w:rsid w:val="00734EFC"/>
    <w:rsid w:val="0073583B"/>
    <w:rsid w:val="007360CA"/>
    <w:rsid w:val="0073623A"/>
    <w:rsid w:val="00736295"/>
    <w:rsid w:val="00736AC0"/>
    <w:rsid w:val="00736B9D"/>
    <w:rsid w:val="00736C98"/>
    <w:rsid w:val="0073754E"/>
    <w:rsid w:val="00737E20"/>
    <w:rsid w:val="007400FA"/>
    <w:rsid w:val="00740329"/>
    <w:rsid w:val="00740385"/>
    <w:rsid w:val="0074038A"/>
    <w:rsid w:val="007405EE"/>
    <w:rsid w:val="00741141"/>
    <w:rsid w:val="007414ED"/>
    <w:rsid w:val="0074188A"/>
    <w:rsid w:val="00741DD2"/>
    <w:rsid w:val="0074237A"/>
    <w:rsid w:val="00742DCE"/>
    <w:rsid w:val="0074307C"/>
    <w:rsid w:val="00743CC6"/>
    <w:rsid w:val="007442DE"/>
    <w:rsid w:val="007444BA"/>
    <w:rsid w:val="007452BB"/>
    <w:rsid w:val="007454DA"/>
    <w:rsid w:val="007455B5"/>
    <w:rsid w:val="00746576"/>
    <w:rsid w:val="0074667B"/>
    <w:rsid w:val="007467B1"/>
    <w:rsid w:val="00746949"/>
    <w:rsid w:val="00746AD8"/>
    <w:rsid w:val="007470BD"/>
    <w:rsid w:val="00747278"/>
    <w:rsid w:val="0074765D"/>
    <w:rsid w:val="007479BF"/>
    <w:rsid w:val="00747DEF"/>
    <w:rsid w:val="00750124"/>
    <w:rsid w:val="0075042C"/>
    <w:rsid w:val="0075092E"/>
    <w:rsid w:val="0075143E"/>
    <w:rsid w:val="007529D4"/>
    <w:rsid w:val="00752DDC"/>
    <w:rsid w:val="00752F14"/>
    <w:rsid w:val="007531CB"/>
    <w:rsid w:val="00753243"/>
    <w:rsid w:val="00753253"/>
    <w:rsid w:val="00753319"/>
    <w:rsid w:val="0075388D"/>
    <w:rsid w:val="00753C2A"/>
    <w:rsid w:val="00754677"/>
    <w:rsid w:val="00754A78"/>
    <w:rsid w:val="0075550C"/>
    <w:rsid w:val="00755528"/>
    <w:rsid w:val="00755DE5"/>
    <w:rsid w:val="00755EE4"/>
    <w:rsid w:val="00756394"/>
    <w:rsid w:val="0075662F"/>
    <w:rsid w:val="007566EE"/>
    <w:rsid w:val="0075761C"/>
    <w:rsid w:val="007603C2"/>
    <w:rsid w:val="00760D3E"/>
    <w:rsid w:val="00760EC0"/>
    <w:rsid w:val="00761ECE"/>
    <w:rsid w:val="007623B3"/>
    <w:rsid w:val="00762437"/>
    <w:rsid w:val="00762B42"/>
    <w:rsid w:val="007634AD"/>
    <w:rsid w:val="007641D2"/>
    <w:rsid w:val="00764D50"/>
    <w:rsid w:val="00765199"/>
    <w:rsid w:val="00765A62"/>
    <w:rsid w:val="00765E09"/>
    <w:rsid w:val="00767B24"/>
    <w:rsid w:val="0077001C"/>
    <w:rsid w:val="00770CDB"/>
    <w:rsid w:val="007711BD"/>
    <w:rsid w:val="0077139F"/>
    <w:rsid w:val="007716FC"/>
    <w:rsid w:val="00771B92"/>
    <w:rsid w:val="00771CA7"/>
    <w:rsid w:val="00772229"/>
    <w:rsid w:val="0077256A"/>
    <w:rsid w:val="0077351F"/>
    <w:rsid w:val="007735C0"/>
    <w:rsid w:val="00773FBA"/>
    <w:rsid w:val="00774110"/>
    <w:rsid w:val="0077418D"/>
    <w:rsid w:val="0077433E"/>
    <w:rsid w:val="007749A4"/>
    <w:rsid w:val="00774A1C"/>
    <w:rsid w:val="0077574A"/>
    <w:rsid w:val="00775AAC"/>
    <w:rsid w:val="00775CAA"/>
    <w:rsid w:val="00775D68"/>
    <w:rsid w:val="0077673F"/>
    <w:rsid w:val="00776AFC"/>
    <w:rsid w:val="00776C9F"/>
    <w:rsid w:val="00776F5B"/>
    <w:rsid w:val="007772B4"/>
    <w:rsid w:val="0077740B"/>
    <w:rsid w:val="00777646"/>
    <w:rsid w:val="00777AB4"/>
    <w:rsid w:val="00777B97"/>
    <w:rsid w:val="00777FFA"/>
    <w:rsid w:val="0078003A"/>
    <w:rsid w:val="0078045C"/>
    <w:rsid w:val="00780771"/>
    <w:rsid w:val="00780846"/>
    <w:rsid w:val="00780A22"/>
    <w:rsid w:val="00781039"/>
    <w:rsid w:val="007812A0"/>
    <w:rsid w:val="007812AD"/>
    <w:rsid w:val="0078139D"/>
    <w:rsid w:val="00781DF2"/>
    <w:rsid w:val="0078232C"/>
    <w:rsid w:val="007827B2"/>
    <w:rsid w:val="00783499"/>
    <w:rsid w:val="00783F81"/>
    <w:rsid w:val="0078411F"/>
    <w:rsid w:val="00784A9C"/>
    <w:rsid w:val="00784AFA"/>
    <w:rsid w:val="007853DF"/>
    <w:rsid w:val="00785A6C"/>
    <w:rsid w:val="00785F6D"/>
    <w:rsid w:val="00786138"/>
    <w:rsid w:val="00787840"/>
    <w:rsid w:val="007878CD"/>
    <w:rsid w:val="0078794E"/>
    <w:rsid w:val="00790161"/>
    <w:rsid w:val="00790466"/>
    <w:rsid w:val="0079149D"/>
    <w:rsid w:val="00791E7F"/>
    <w:rsid w:val="0079203B"/>
    <w:rsid w:val="007927DA"/>
    <w:rsid w:val="007929CF"/>
    <w:rsid w:val="00792AD4"/>
    <w:rsid w:val="00792CE1"/>
    <w:rsid w:val="007932D3"/>
    <w:rsid w:val="00793EB9"/>
    <w:rsid w:val="00793F24"/>
    <w:rsid w:val="00794673"/>
    <w:rsid w:val="007948F3"/>
    <w:rsid w:val="00794A8C"/>
    <w:rsid w:val="007957D7"/>
    <w:rsid w:val="00797BA8"/>
    <w:rsid w:val="007A04D8"/>
    <w:rsid w:val="007A059D"/>
    <w:rsid w:val="007A081D"/>
    <w:rsid w:val="007A0FA0"/>
    <w:rsid w:val="007A147D"/>
    <w:rsid w:val="007A19B0"/>
    <w:rsid w:val="007A1F16"/>
    <w:rsid w:val="007A24F4"/>
    <w:rsid w:val="007A25CA"/>
    <w:rsid w:val="007A28A5"/>
    <w:rsid w:val="007A336B"/>
    <w:rsid w:val="007A3D4C"/>
    <w:rsid w:val="007A3DF3"/>
    <w:rsid w:val="007A4090"/>
    <w:rsid w:val="007A4944"/>
    <w:rsid w:val="007A49E7"/>
    <w:rsid w:val="007A575C"/>
    <w:rsid w:val="007A5A68"/>
    <w:rsid w:val="007A5CA7"/>
    <w:rsid w:val="007A5EAA"/>
    <w:rsid w:val="007A6019"/>
    <w:rsid w:val="007A6642"/>
    <w:rsid w:val="007A6F28"/>
    <w:rsid w:val="007A7E55"/>
    <w:rsid w:val="007A7E9F"/>
    <w:rsid w:val="007A7FEA"/>
    <w:rsid w:val="007B03C6"/>
    <w:rsid w:val="007B08CA"/>
    <w:rsid w:val="007B0A8A"/>
    <w:rsid w:val="007B0DB1"/>
    <w:rsid w:val="007B1244"/>
    <w:rsid w:val="007B13CC"/>
    <w:rsid w:val="007B1B56"/>
    <w:rsid w:val="007B2150"/>
    <w:rsid w:val="007B23DA"/>
    <w:rsid w:val="007B2554"/>
    <w:rsid w:val="007B33E3"/>
    <w:rsid w:val="007B34C4"/>
    <w:rsid w:val="007B377A"/>
    <w:rsid w:val="007B42E1"/>
    <w:rsid w:val="007B45A4"/>
    <w:rsid w:val="007B4901"/>
    <w:rsid w:val="007B491A"/>
    <w:rsid w:val="007B5395"/>
    <w:rsid w:val="007B5673"/>
    <w:rsid w:val="007B5AF4"/>
    <w:rsid w:val="007B650E"/>
    <w:rsid w:val="007B65AB"/>
    <w:rsid w:val="007B69A8"/>
    <w:rsid w:val="007B705E"/>
    <w:rsid w:val="007B706E"/>
    <w:rsid w:val="007B71E8"/>
    <w:rsid w:val="007B7222"/>
    <w:rsid w:val="007B7238"/>
    <w:rsid w:val="007B76FF"/>
    <w:rsid w:val="007B7769"/>
    <w:rsid w:val="007B7B46"/>
    <w:rsid w:val="007B7E26"/>
    <w:rsid w:val="007C0410"/>
    <w:rsid w:val="007C17FD"/>
    <w:rsid w:val="007C1C90"/>
    <w:rsid w:val="007C1FE9"/>
    <w:rsid w:val="007C21A1"/>
    <w:rsid w:val="007C331F"/>
    <w:rsid w:val="007C3839"/>
    <w:rsid w:val="007C3BF6"/>
    <w:rsid w:val="007C3FF0"/>
    <w:rsid w:val="007C44B7"/>
    <w:rsid w:val="007C45DD"/>
    <w:rsid w:val="007C5116"/>
    <w:rsid w:val="007C57BA"/>
    <w:rsid w:val="007C59C7"/>
    <w:rsid w:val="007C5ACE"/>
    <w:rsid w:val="007C6079"/>
    <w:rsid w:val="007C67B3"/>
    <w:rsid w:val="007C7D4B"/>
    <w:rsid w:val="007D0E36"/>
    <w:rsid w:val="007D0FD2"/>
    <w:rsid w:val="007D135A"/>
    <w:rsid w:val="007D1763"/>
    <w:rsid w:val="007D1BF6"/>
    <w:rsid w:val="007D2045"/>
    <w:rsid w:val="007D2864"/>
    <w:rsid w:val="007D2CF7"/>
    <w:rsid w:val="007D2EF8"/>
    <w:rsid w:val="007D3E38"/>
    <w:rsid w:val="007D40FB"/>
    <w:rsid w:val="007D45A8"/>
    <w:rsid w:val="007D47C4"/>
    <w:rsid w:val="007D50A4"/>
    <w:rsid w:val="007D561F"/>
    <w:rsid w:val="007D57F0"/>
    <w:rsid w:val="007D5B35"/>
    <w:rsid w:val="007D6D4E"/>
    <w:rsid w:val="007D6F89"/>
    <w:rsid w:val="007D6FAC"/>
    <w:rsid w:val="007D70C1"/>
    <w:rsid w:val="007D7B8E"/>
    <w:rsid w:val="007D7FD2"/>
    <w:rsid w:val="007E0156"/>
    <w:rsid w:val="007E027F"/>
    <w:rsid w:val="007E0BC1"/>
    <w:rsid w:val="007E0E98"/>
    <w:rsid w:val="007E13D9"/>
    <w:rsid w:val="007E189C"/>
    <w:rsid w:val="007E2451"/>
    <w:rsid w:val="007E2492"/>
    <w:rsid w:val="007E2AEC"/>
    <w:rsid w:val="007E3115"/>
    <w:rsid w:val="007E356D"/>
    <w:rsid w:val="007E3677"/>
    <w:rsid w:val="007E41BE"/>
    <w:rsid w:val="007E4DB6"/>
    <w:rsid w:val="007E61F5"/>
    <w:rsid w:val="007E631C"/>
    <w:rsid w:val="007E6733"/>
    <w:rsid w:val="007E6760"/>
    <w:rsid w:val="007E6949"/>
    <w:rsid w:val="007E6C06"/>
    <w:rsid w:val="007E7CD4"/>
    <w:rsid w:val="007F12AC"/>
    <w:rsid w:val="007F14B1"/>
    <w:rsid w:val="007F1B69"/>
    <w:rsid w:val="007F2245"/>
    <w:rsid w:val="007F2290"/>
    <w:rsid w:val="007F231C"/>
    <w:rsid w:val="007F302A"/>
    <w:rsid w:val="007F30C7"/>
    <w:rsid w:val="007F3BB6"/>
    <w:rsid w:val="007F3CBE"/>
    <w:rsid w:val="007F40E9"/>
    <w:rsid w:val="007F4501"/>
    <w:rsid w:val="007F4D1A"/>
    <w:rsid w:val="007F4EF8"/>
    <w:rsid w:val="007F4FD9"/>
    <w:rsid w:val="007F5F72"/>
    <w:rsid w:val="007F60DF"/>
    <w:rsid w:val="007F675D"/>
    <w:rsid w:val="007F69E5"/>
    <w:rsid w:val="007F6DCF"/>
    <w:rsid w:val="007F760A"/>
    <w:rsid w:val="00801800"/>
    <w:rsid w:val="00801861"/>
    <w:rsid w:val="00801B5B"/>
    <w:rsid w:val="008028D8"/>
    <w:rsid w:val="0080379E"/>
    <w:rsid w:val="00803CE7"/>
    <w:rsid w:val="00803D07"/>
    <w:rsid w:val="0080477D"/>
    <w:rsid w:val="008053FE"/>
    <w:rsid w:val="00805A30"/>
    <w:rsid w:val="00805EEE"/>
    <w:rsid w:val="00805FEE"/>
    <w:rsid w:val="0080687B"/>
    <w:rsid w:val="00806BFB"/>
    <w:rsid w:val="00807521"/>
    <w:rsid w:val="008079B1"/>
    <w:rsid w:val="00807E7C"/>
    <w:rsid w:val="00810148"/>
    <w:rsid w:val="00811367"/>
    <w:rsid w:val="0081138A"/>
    <w:rsid w:val="00811ED9"/>
    <w:rsid w:val="00813404"/>
    <w:rsid w:val="00814C7F"/>
    <w:rsid w:val="00816136"/>
    <w:rsid w:val="0081613E"/>
    <w:rsid w:val="00816B9A"/>
    <w:rsid w:val="00816DB0"/>
    <w:rsid w:val="00817513"/>
    <w:rsid w:val="00817B5A"/>
    <w:rsid w:val="00817F53"/>
    <w:rsid w:val="00820373"/>
    <w:rsid w:val="008206F7"/>
    <w:rsid w:val="00820BAD"/>
    <w:rsid w:val="0082153A"/>
    <w:rsid w:val="008215DC"/>
    <w:rsid w:val="008216E7"/>
    <w:rsid w:val="00821AA9"/>
    <w:rsid w:val="00822478"/>
    <w:rsid w:val="00822545"/>
    <w:rsid w:val="008227BD"/>
    <w:rsid w:val="008241D6"/>
    <w:rsid w:val="00824314"/>
    <w:rsid w:val="00824AEB"/>
    <w:rsid w:val="00824B5C"/>
    <w:rsid w:val="00824BB6"/>
    <w:rsid w:val="00824D98"/>
    <w:rsid w:val="00825BE6"/>
    <w:rsid w:val="00826518"/>
    <w:rsid w:val="008268CD"/>
    <w:rsid w:val="00826D01"/>
    <w:rsid w:val="008276B4"/>
    <w:rsid w:val="00827CC5"/>
    <w:rsid w:val="00827D71"/>
    <w:rsid w:val="00830276"/>
    <w:rsid w:val="00830B11"/>
    <w:rsid w:val="00830D27"/>
    <w:rsid w:val="00831005"/>
    <w:rsid w:val="008310EE"/>
    <w:rsid w:val="0083112F"/>
    <w:rsid w:val="008315B3"/>
    <w:rsid w:val="00831927"/>
    <w:rsid w:val="00831BBD"/>
    <w:rsid w:val="00831FC8"/>
    <w:rsid w:val="0083283B"/>
    <w:rsid w:val="0083291D"/>
    <w:rsid w:val="00833205"/>
    <w:rsid w:val="00833903"/>
    <w:rsid w:val="00833AE3"/>
    <w:rsid w:val="00833C57"/>
    <w:rsid w:val="00833E1F"/>
    <w:rsid w:val="00833F54"/>
    <w:rsid w:val="008348B1"/>
    <w:rsid w:val="00835CB7"/>
    <w:rsid w:val="00837288"/>
    <w:rsid w:val="00837FDB"/>
    <w:rsid w:val="008410C2"/>
    <w:rsid w:val="008414A1"/>
    <w:rsid w:val="0084157E"/>
    <w:rsid w:val="00841BD3"/>
    <w:rsid w:val="00842230"/>
    <w:rsid w:val="0084273D"/>
    <w:rsid w:val="00842C2D"/>
    <w:rsid w:val="00842E88"/>
    <w:rsid w:val="0084387D"/>
    <w:rsid w:val="00843A21"/>
    <w:rsid w:val="00843CFF"/>
    <w:rsid w:val="008441DF"/>
    <w:rsid w:val="0084429E"/>
    <w:rsid w:val="00844E3F"/>
    <w:rsid w:val="00845143"/>
    <w:rsid w:val="008458E3"/>
    <w:rsid w:val="00845A21"/>
    <w:rsid w:val="00845A83"/>
    <w:rsid w:val="00845B1A"/>
    <w:rsid w:val="00845BA9"/>
    <w:rsid w:val="0084653A"/>
    <w:rsid w:val="00846A32"/>
    <w:rsid w:val="00846BB9"/>
    <w:rsid w:val="00846EA2"/>
    <w:rsid w:val="00847560"/>
    <w:rsid w:val="00847595"/>
    <w:rsid w:val="008509EE"/>
    <w:rsid w:val="00850E39"/>
    <w:rsid w:val="00850F32"/>
    <w:rsid w:val="00851044"/>
    <w:rsid w:val="0085107B"/>
    <w:rsid w:val="00851165"/>
    <w:rsid w:val="0085159F"/>
    <w:rsid w:val="00851CAF"/>
    <w:rsid w:val="00852702"/>
    <w:rsid w:val="008527D7"/>
    <w:rsid w:val="00852C93"/>
    <w:rsid w:val="00852F6B"/>
    <w:rsid w:val="0085304A"/>
    <w:rsid w:val="008533D9"/>
    <w:rsid w:val="00853601"/>
    <w:rsid w:val="008538DB"/>
    <w:rsid w:val="00853A7E"/>
    <w:rsid w:val="00853EE7"/>
    <w:rsid w:val="00854280"/>
    <w:rsid w:val="008546FD"/>
    <w:rsid w:val="008549BD"/>
    <w:rsid w:val="008549DB"/>
    <w:rsid w:val="00855383"/>
    <w:rsid w:val="008555AD"/>
    <w:rsid w:val="00856545"/>
    <w:rsid w:val="0085655B"/>
    <w:rsid w:val="00856AF8"/>
    <w:rsid w:val="00856CCF"/>
    <w:rsid w:val="008572C3"/>
    <w:rsid w:val="0085739F"/>
    <w:rsid w:val="008575B4"/>
    <w:rsid w:val="0085773A"/>
    <w:rsid w:val="00857B06"/>
    <w:rsid w:val="00857C5C"/>
    <w:rsid w:val="0086031B"/>
    <w:rsid w:val="008605D4"/>
    <w:rsid w:val="00860829"/>
    <w:rsid w:val="00860A86"/>
    <w:rsid w:val="00861126"/>
    <w:rsid w:val="00861417"/>
    <w:rsid w:val="008624AE"/>
    <w:rsid w:val="008625EC"/>
    <w:rsid w:val="0086312F"/>
    <w:rsid w:val="0086377E"/>
    <w:rsid w:val="008639B1"/>
    <w:rsid w:val="00863BDF"/>
    <w:rsid w:val="00863E36"/>
    <w:rsid w:val="008640A8"/>
    <w:rsid w:val="008649D5"/>
    <w:rsid w:val="00864C07"/>
    <w:rsid w:val="00864C50"/>
    <w:rsid w:val="00864C82"/>
    <w:rsid w:val="00864DB7"/>
    <w:rsid w:val="00864FF4"/>
    <w:rsid w:val="00865644"/>
    <w:rsid w:val="008658AE"/>
    <w:rsid w:val="008662BF"/>
    <w:rsid w:val="008666C8"/>
    <w:rsid w:val="00866A8A"/>
    <w:rsid w:val="00866CD7"/>
    <w:rsid w:val="0086723B"/>
    <w:rsid w:val="008712BB"/>
    <w:rsid w:val="00871947"/>
    <w:rsid w:val="00871E17"/>
    <w:rsid w:val="0087292D"/>
    <w:rsid w:val="00872950"/>
    <w:rsid w:val="00872BB9"/>
    <w:rsid w:val="00872EE9"/>
    <w:rsid w:val="0087355D"/>
    <w:rsid w:val="00873901"/>
    <w:rsid w:val="0087391A"/>
    <w:rsid w:val="00873A7D"/>
    <w:rsid w:val="00873D36"/>
    <w:rsid w:val="00874511"/>
    <w:rsid w:val="0087483E"/>
    <w:rsid w:val="00875222"/>
    <w:rsid w:val="0087607D"/>
    <w:rsid w:val="00876366"/>
    <w:rsid w:val="0087667C"/>
    <w:rsid w:val="00876F3E"/>
    <w:rsid w:val="00877E79"/>
    <w:rsid w:val="0088020B"/>
    <w:rsid w:val="00880779"/>
    <w:rsid w:val="008810F3"/>
    <w:rsid w:val="00881239"/>
    <w:rsid w:val="008813B0"/>
    <w:rsid w:val="008813DA"/>
    <w:rsid w:val="00881C1B"/>
    <w:rsid w:val="00881CDE"/>
    <w:rsid w:val="00881F1B"/>
    <w:rsid w:val="00882297"/>
    <w:rsid w:val="00882926"/>
    <w:rsid w:val="00882A66"/>
    <w:rsid w:val="008830E7"/>
    <w:rsid w:val="0088371E"/>
    <w:rsid w:val="008840A8"/>
    <w:rsid w:val="008842E3"/>
    <w:rsid w:val="00884367"/>
    <w:rsid w:val="00884477"/>
    <w:rsid w:val="00884F70"/>
    <w:rsid w:val="0088512F"/>
    <w:rsid w:val="00885589"/>
    <w:rsid w:val="00885BDE"/>
    <w:rsid w:val="008865C1"/>
    <w:rsid w:val="00886BFD"/>
    <w:rsid w:val="00886C17"/>
    <w:rsid w:val="00886FE6"/>
    <w:rsid w:val="008871DE"/>
    <w:rsid w:val="008875F9"/>
    <w:rsid w:val="0088781F"/>
    <w:rsid w:val="00887A2E"/>
    <w:rsid w:val="00887AAF"/>
    <w:rsid w:val="008900CD"/>
    <w:rsid w:val="00890670"/>
    <w:rsid w:val="00890799"/>
    <w:rsid w:val="00890EDE"/>
    <w:rsid w:val="008913D5"/>
    <w:rsid w:val="008914E0"/>
    <w:rsid w:val="00891992"/>
    <w:rsid w:val="00891EE3"/>
    <w:rsid w:val="00892220"/>
    <w:rsid w:val="0089246E"/>
    <w:rsid w:val="00892B38"/>
    <w:rsid w:val="00893A35"/>
    <w:rsid w:val="00893B49"/>
    <w:rsid w:val="00893BC4"/>
    <w:rsid w:val="00893D84"/>
    <w:rsid w:val="0089457A"/>
    <w:rsid w:val="00894C97"/>
    <w:rsid w:val="00894EDB"/>
    <w:rsid w:val="00895025"/>
    <w:rsid w:val="0089521B"/>
    <w:rsid w:val="00895AD3"/>
    <w:rsid w:val="00895D41"/>
    <w:rsid w:val="00896034"/>
    <w:rsid w:val="00896081"/>
    <w:rsid w:val="008960C5"/>
    <w:rsid w:val="00896187"/>
    <w:rsid w:val="008964CB"/>
    <w:rsid w:val="00896966"/>
    <w:rsid w:val="00896A10"/>
    <w:rsid w:val="00896CDE"/>
    <w:rsid w:val="008974C6"/>
    <w:rsid w:val="00897889"/>
    <w:rsid w:val="00897E26"/>
    <w:rsid w:val="00897F0A"/>
    <w:rsid w:val="008A0630"/>
    <w:rsid w:val="008A083D"/>
    <w:rsid w:val="008A0878"/>
    <w:rsid w:val="008A125A"/>
    <w:rsid w:val="008A1741"/>
    <w:rsid w:val="008A1E52"/>
    <w:rsid w:val="008A246B"/>
    <w:rsid w:val="008A2484"/>
    <w:rsid w:val="008A253C"/>
    <w:rsid w:val="008A2DE7"/>
    <w:rsid w:val="008A324E"/>
    <w:rsid w:val="008A34B5"/>
    <w:rsid w:val="008A4214"/>
    <w:rsid w:val="008A52F3"/>
    <w:rsid w:val="008A58D8"/>
    <w:rsid w:val="008A61B5"/>
    <w:rsid w:val="008A684F"/>
    <w:rsid w:val="008A73A6"/>
    <w:rsid w:val="008A7D73"/>
    <w:rsid w:val="008B0FA0"/>
    <w:rsid w:val="008B1F97"/>
    <w:rsid w:val="008B28DC"/>
    <w:rsid w:val="008B36E6"/>
    <w:rsid w:val="008B37E6"/>
    <w:rsid w:val="008B3A0A"/>
    <w:rsid w:val="008B3A81"/>
    <w:rsid w:val="008B41A7"/>
    <w:rsid w:val="008B44FA"/>
    <w:rsid w:val="008B5112"/>
    <w:rsid w:val="008B5436"/>
    <w:rsid w:val="008B55BB"/>
    <w:rsid w:val="008B57AE"/>
    <w:rsid w:val="008B5D1B"/>
    <w:rsid w:val="008B6B37"/>
    <w:rsid w:val="008B6D47"/>
    <w:rsid w:val="008B6F6A"/>
    <w:rsid w:val="008C0282"/>
    <w:rsid w:val="008C0B2E"/>
    <w:rsid w:val="008C12F5"/>
    <w:rsid w:val="008C197A"/>
    <w:rsid w:val="008C2291"/>
    <w:rsid w:val="008C26D9"/>
    <w:rsid w:val="008C27B5"/>
    <w:rsid w:val="008C402E"/>
    <w:rsid w:val="008C456C"/>
    <w:rsid w:val="008C50EA"/>
    <w:rsid w:val="008C59B0"/>
    <w:rsid w:val="008C678F"/>
    <w:rsid w:val="008C6D50"/>
    <w:rsid w:val="008C7167"/>
    <w:rsid w:val="008C72C9"/>
    <w:rsid w:val="008C7503"/>
    <w:rsid w:val="008C772C"/>
    <w:rsid w:val="008C7B9A"/>
    <w:rsid w:val="008D0F0F"/>
    <w:rsid w:val="008D1236"/>
    <w:rsid w:val="008D1448"/>
    <w:rsid w:val="008D1617"/>
    <w:rsid w:val="008D190F"/>
    <w:rsid w:val="008D212C"/>
    <w:rsid w:val="008D2CE0"/>
    <w:rsid w:val="008D2D55"/>
    <w:rsid w:val="008D2EAA"/>
    <w:rsid w:val="008D3294"/>
    <w:rsid w:val="008D32B0"/>
    <w:rsid w:val="008D330F"/>
    <w:rsid w:val="008D33B3"/>
    <w:rsid w:val="008D34BA"/>
    <w:rsid w:val="008D3777"/>
    <w:rsid w:val="008D3B2B"/>
    <w:rsid w:val="008D4764"/>
    <w:rsid w:val="008D48C1"/>
    <w:rsid w:val="008D513C"/>
    <w:rsid w:val="008D7329"/>
    <w:rsid w:val="008D76B8"/>
    <w:rsid w:val="008E07E9"/>
    <w:rsid w:val="008E098E"/>
    <w:rsid w:val="008E12B7"/>
    <w:rsid w:val="008E1EA3"/>
    <w:rsid w:val="008E2C5D"/>
    <w:rsid w:val="008E3468"/>
    <w:rsid w:val="008E3677"/>
    <w:rsid w:val="008E3742"/>
    <w:rsid w:val="008E3A12"/>
    <w:rsid w:val="008E4368"/>
    <w:rsid w:val="008E575A"/>
    <w:rsid w:val="008E5828"/>
    <w:rsid w:val="008E6315"/>
    <w:rsid w:val="008E6E7E"/>
    <w:rsid w:val="008E7448"/>
    <w:rsid w:val="008E765C"/>
    <w:rsid w:val="008F00E5"/>
    <w:rsid w:val="008F03DC"/>
    <w:rsid w:val="008F0480"/>
    <w:rsid w:val="008F0624"/>
    <w:rsid w:val="008F07FC"/>
    <w:rsid w:val="008F083F"/>
    <w:rsid w:val="008F0FEF"/>
    <w:rsid w:val="008F114D"/>
    <w:rsid w:val="008F11E0"/>
    <w:rsid w:val="008F2311"/>
    <w:rsid w:val="008F2B12"/>
    <w:rsid w:val="008F2C47"/>
    <w:rsid w:val="008F2EA2"/>
    <w:rsid w:val="008F3D07"/>
    <w:rsid w:val="008F3EA7"/>
    <w:rsid w:val="008F3FF2"/>
    <w:rsid w:val="008F43F5"/>
    <w:rsid w:val="008F46A7"/>
    <w:rsid w:val="008F552C"/>
    <w:rsid w:val="008F59EF"/>
    <w:rsid w:val="008F5B01"/>
    <w:rsid w:val="008F69C7"/>
    <w:rsid w:val="008F6C01"/>
    <w:rsid w:val="008F78BC"/>
    <w:rsid w:val="008F7B63"/>
    <w:rsid w:val="008F7D6A"/>
    <w:rsid w:val="00900B53"/>
    <w:rsid w:val="00901C86"/>
    <w:rsid w:val="00902691"/>
    <w:rsid w:val="009026AE"/>
    <w:rsid w:val="009026B5"/>
    <w:rsid w:val="00902B2C"/>
    <w:rsid w:val="00902D74"/>
    <w:rsid w:val="009030C6"/>
    <w:rsid w:val="0090310A"/>
    <w:rsid w:val="00903603"/>
    <w:rsid w:val="0090464F"/>
    <w:rsid w:val="00904754"/>
    <w:rsid w:val="00904784"/>
    <w:rsid w:val="00904BF4"/>
    <w:rsid w:val="009052E2"/>
    <w:rsid w:val="009053EB"/>
    <w:rsid w:val="009054CB"/>
    <w:rsid w:val="009057B8"/>
    <w:rsid w:val="00906CC9"/>
    <w:rsid w:val="009073A3"/>
    <w:rsid w:val="0090760F"/>
    <w:rsid w:val="009076FD"/>
    <w:rsid w:val="00910D04"/>
    <w:rsid w:val="00910F95"/>
    <w:rsid w:val="0091103D"/>
    <w:rsid w:val="009113BC"/>
    <w:rsid w:val="00911708"/>
    <w:rsid w:val="00911CF1"/>
    <w:rsid w:val="00911D50"/>
    <w:rsid w:val="00911F8D"/>
    <w:rsid w:val="00912BEF"/>
    <w:rsid w:val="00912F94"/>
    <w:rsid w:val="009136C7"/>
    <w:rsid w:val="009137B9"/>
    <w:rsid w:val="00913E3A"/>
    <w:rsid w:val="009142FA"/>
    <w:rsid w:val="009151C1"/>
    <w:rsid w:val="00915B95"/>
    <w:rsid w:val="009163C5"/>
    <w:rsid w:val="00916E81"/>
    <w:rsid w:val="009171BC"/>
    <w:rsid w:val="009200C1"/>
    <w:rsid w:val="009203A7"/>
    <w:rsid w:val="0092042E"/>
    <w:rsid w:val="009210EA"/>
    <w:rsid w:val="00921622"/>
    <w:rsid w:val="009216CD"/>
    <w:rsid w:val="00921C00"/>
    <w:rsid w:val="0092243F"/>
    <w:rsid w:val="00922679"/>
    <w:rsid w:val="00922979"/>
    <w:rsid w:val="00922ACF"/>
    <w:rsid w:val="009231A5"/>
    <w:rsid w:val="00923A77"/>
    <w:rsid w:val="00923F9E"/>
    <w:rsid w:val="009242AC"/>
    <w:rsid w:val="0092497E"/>
    <w:rsid w:val="00924F59"/>
    <w:rsid w:val="00925173"/>
    <w:rsid w:val="0092590B"/>
    <w:rsid w:val="00925AF4"/>
    <w:rsid w:val="00925BF3"/>
    <w:rsid w:val="00925E60"/>
    <w:rsid w:val="009264B3"/>
    <w:rsid w:val="00926573"/>
    <w:rsid w:val="009265A2"/>
    <w:rsid w:val="00926837"/>
    <w:rsid w:val="00926964"/>
    <w:rsid w:val="0092717C"/>
    <w:rsid w:val="00927B43"/>
    <w:rsid w:val="00927D40"/>
    <w:rsid w:val="00930772"/>
    <w:rsid w:val="009307FC"/>
    <w:rsid w:val="00930C57"/>
    <w:rsid w:val="00930EDA"/>
    <w:rsid w:val="0093141A"/>
    <w:rsid w:val="00931B55"/>
    <w:rsid w:val="00931E4C"/>
    <w:rsid w:val="009327FF"/>
    <w:rsid w:val="00932863"/>
    <w:rsid w:val="009344AC"/>
    <w:rsid w:val="009346CA"/>
    <w:rsid w:val="00934D6E"/>
    <w:rsid w:val="009357B9"/>
    <w:rsid w:val="00935E67"/>
    <w:rsid w:val="00936211"/>
    <w:rsid w:val="009365E0"/>
    <w:rsid w:val="00937A6B"/>
    <w:rsid w:val="0094040C"/>
    <w:rsid w:val="009418AF"/>
    <w:rsid w:val="0094199D"/>
    <w:rsid w:val="00942880"/>
    <w:rsid w:val="00942AF0"/>
    <w:rsid w:val="00942BA2"/>
    <w:rsid w:val="009432B7"/>
    <w:rsid w:val="00943CFB"/>
    <w:rsid w:val="00943EA6"/>
    <w:rsid w:val="00943F0F"/>
    <w:rsid w:val="00944C86"/>
    <w:rsid w:val="00944CEB"/>
    <w:rsid w:val="009456F1"/>
    <w:rsid w:val="00945C45"/>
    <w:rsid w:val="00946CF9"/>
    <w:rsid w:val="0094749E"/>
    <w:rsid w:val="00947C02"/>
    <w:rsid w:val="0095002A"/>
    <w:rsid w:val="0095008D"/>
    <w:rsid w:val="00950B64"/>
    <w:rsid w:val="00950BE6"/>
    <w:rsid w:val="00950EC9"/>
    <w:rsid w:val="00950FF7"/>
    <w:rsid w:val="009526FC"/>
    <w:rsid w:val="00952ADB"/>
    <w:rsid w:val="00953E4E"/>
    <w:rsid w:val="0095447E"/>
    <w:rsid w:val="00954995"/>
    <w:rsid w:val="00954B28"/>
    <w:rsid w:val="0095512D"/>
    <w:rsid w:val="009561AA"/>
    <w:rsid w:val="0095663F"/>
    <w:rsid w:val="0095674A"/>
    <w:rsid w:val="009571FC"/>
    <w:rsid w:val="00957475"/>
    <w:rsid w:val="00957569"/>
    <w:rsid w:val="009579BF"/>
    <w:rsid w:val="00957A9E"/>
    <w:rsid w:val="00957DE8"/>
    <w:rsid w:val="00960245"/>
    <w:rsid w:val="009604E7"/>
    <w:rsid w:val="0096087B"/>
    <w:rsid w:val="00960917"/>
    <w:rsid w:val="00960B8D"/>
    <w:rsid w:val="00960CBE"/>
    <w:rsid w:val="00960ECB"/>
    <w:rsid w:val="009615D6"/>
    <w:rsid w:val="00961671"/>
    <w:rsid w:val="0096231A"/>
    <w:rsid w:val="00962CBD"/>
    <w:rsid w:val="0096377E"/>
    <w:rsid w:val="00964A69"/>
    <w:rsid w:val="00964BED"/>
    <w:rsid w:val="00965A56"/>
    <w:rsid w:val="00966243"/>
    <w:rsid w:val="009663A6"/>
    <w:rsid w:val="009668F6"/>
    <w:rsid w:val="00966A32"/>
    <w:rsid w:val="00966FDA"/>
    <w:rsid w:val="00967388"/>
    <w:rsid w:val="00967855"/>
    <w:rsid w:val="00967916"/>
    <w:rsid w:val="00967F19"/>
    <w:rsid w:val="00970C5E"/>
    <w:rsid w:val="0097104D"/>
    <w:rsid w:val="00971A8B"/>
    <w:rsid w:val="00971CD1"/>
    <w:rsid w:val="009722C3"/>
    <w:rsid w:val="009725AA"/>
    <w:rsid w:val="0097318A"/>
    <w:rsid w:val="009732B9"/>
    <w:rsid w:val="0097333B"/>
    <w:rsid w:val="009733BA"/>
    <w:rsid w:val="009739ED"/>
    <w:rsid w:val="009745E5"/>
    <w:rsid w:val="00974709"/>
    <w:rsid w:val="00974ECB"/>
    <w:rsid w:val="00975321"/>
    <w:rsid w:val="00975700"/>
    <w:rsid w:val="00976399"/>
    <w:rsid w:val="00976471"/>
    <w:rsid w:val="00976A8C"/>
    <w:rsid w:val="00976EC0"/>
    <w:rsid w:val="009779A1"/>
    <w:rsid w:val="009801AE"/>
    <w:rsid w:val="00980736"/>
    <w:rsid w:val="00980B71"/>
    <w:rsid w:val="009814CE"/>
    <w:rsid w:val="0098173A"/>
    <w:rsid w:val="00981807"/>
    <w:rsid w:val="00981A39"/>
    <w:rsid w:val="00982947"/>
    <w:rsid w:val="0098299A"/>
    <w:rsid w:val="00982D56"/>
    <w:rsid w:val="009835F4"/>
    <w:rsid w:val="00983771"/>
    <w:rsid w:val="00983DBF"/>
    <w:rsid w:val="00983F22"/>
    <w:rsid w:val="009844F0"/>
    <w:rsid w:val="00984876"/>
    <w:rsid w:val="00984E4D"/>
    <w:rsid w:val="009852EE"/>
    <w:rsid w:val="0098535C"/>
    <w:rsid w:val="0098543E"/>
    <w:rsid w:val="00985913"/>
    <w:rsid w:val="00987097"/>
    <w:rsid w:val="009874B0"/>
    <w:rsid w:val="00991123"/>
    <w:rsid w:val="0099118C"/>
    <w:rsid w:val="009911CA"/>
    <w:rsid w:val="009914E9"/>
    <w:rsid w:val="00991CAB"/>
    <w:rsid w:val="00991DD2"/>
    <w:rsid w:val="00991E86"/>
    <w:rsid w:val="0099207D"/>
    <w:rsid w:val="009925E3"/>
    <w:rsid w:val="00992CFA"/>
    <w:rsid w:val="00992E75"/>
    <w:rsid w:val="00993850"/>
    <w:rsid w:val="009938CA"/>
    <w:rsid w:val="00993947"/>
    <w:rsid w:val="009939E3"/>
    <w:rsid w:val="00994AD3"/>
    <w:rsid w:val="00994EE1"/>
    <w:rsid w:val="0099526B"/>
    <w:rsid w:val="009957EE"/>
    <w:rsid w:val="00996293"/>
    <w:rsid w:val="009966D5"/>
    <w:rsid w:val="009971DC"/>
    <w:rsid w:val="0099748A"/>
    <w:rsid w:val="009A0B2A"/>
    <w:rsid w:val="009A1094"/>
    <w:rsid w:val="009A113B"/>
    <w:rsid w:val="009A172F"/>
    <w:rsid w:val="009A18D8"/>
    <w:rsid w:val="009A1945"/>
    <w:rsid w:val="009A1A32"/>
    <w:rsid w:val="009A1BFB"/>
    <w:rsid w:val="009A2A4B"/>
    <w:rsid w:val="009A3646"/>
    <w:rsid w:val="009A3A9C"/>
    <w:rsid w:val="009A444B"/>
    <w:rsid w:val="009A4CED"/>
    <w:rsid w:val="009A5229"/>
    <w:rsid w:val="009A5415"/>
    <w:rsid w:val="009A57AE"/>
    <w:rsid w:val="009A5E23"/>
    <w:rsid w:val="009A624B"/>
    <w:rsid w:val="009A637F"/>
    <w:rsid w:val="009A766B"/>
    <w:rsid w:val="009A7773"/>
    <w:rsid w:val="009A7A3E"/>
    <w:rsid w:val="009A7F5B"/>
    <w:rsid w:val="009B014F"/>
    <w:rsid w:val="009B046C"/>
    <w:rsid w:val="009B07A3"/>
    <w:rsid w:val="009B07C4"/>
    <w:rsid w:val="009B122A"/>
    <w:rsid w:val="009B13FA"/>
    <w:rsid w:val="009B14BA"/>
    <w:rsid w:val="009B1538"/>
    <w:rsid w:val="009B1869"/>
    <w:rsid w:val="009B1E2D"/>
    <w:rsid w:val="009B1EEC"/>
    <w:rsid w:val="009B2B28"/>
    <w:rsid w:val="009B2BB2"/>
    <w:rsid w:val="009B2D78"/>
    <w:rsid w:val="009B3009"/>
    <w:rsid w:val="009B3A8C"/>
    <w:rsid w:val="009B3D07"/>
    <w:rsid w:val="009B3DFC"/>
    <w:rsid w:val="009B3E4B"/>
    <w:rsid w:val="009B4518"/>
    <w:rsid w:val="009B4C86"/>
    <w:rsid w:val="009B54BA"/>
    <w:rsid w:val="009B5606"/>
    <w:rsid w:val="009B571B"/>
    <w:rsid w:val="009B5D6F"/>
    <w:rsid w:val="009B66A3"/>
    <w:rsid w:val="009B68B4"/>
    <w:rsid w:val="009B6A2C"/>
    <w:rsid w:val="009B7170"/>
    <w:rsid w:val="009B7644"/>
    <w:rsid w:val="009B7AA8"/>
    <w:rsid w:val="009C16DA"/>
    <w:rsid w:val="009C1792"/>
    <w:rsid w:val="009C1EE2"/>
    <w:rsid w:val="009C2257"/>
    <w:rsid w:val="009C4002"/>
    <w:rsid w:val="009C4BC1"/>
    <w:rsid w:val="009C5355"/>
    <w:rsid w:val="009C5801"/>
    <w:rsid w:val="009C580A"/>
    <w:rsid w:val="009C59F1"/>
    <w:rsid w:val="009C59FB"/>
    <w:rsid w:val="009C5BA4"/>
    <w:rsid w:val="009C6717"/>
    <w:rsid w:val="009C67E1"/>
    <w:rsid w:val="009C68A3"/>
    <w:rsid w:val="009C68F4"/>
    <w:rsid w:val="009C6C41"/>
    <w:rsid w:val="009C6F3B"/>
    <w:rsid w:val="009D05BE"/>
    <w:rsid w:val="009D13CB"/>
    <w:rsid w:val="009D1467"/>
    <w:rsid w:val="009D1F1D"/>
    <w:rsid w:val="009D21AE"/>
    <w:rsid w:val="009D2BA8"/>
    <w:rsid w:val="009D2E44"/>
    <w:rsid w:val="009D2EEC"/>
    <w:rsid w:val="009D328D"/>
    <w:rsid w:val="009D36D2"/>
    <w:rsid w:val="009D38AE"/>
    <w:rsid w:val="009D3C9C"/>
    <w:rsid w:val="009D4195"/>
    <w:rsid w:val="009D435F"/>
    <w:rsid w:val="009D4601"/>
    <w:rsid w:val="009D4B1B"/>
    <w:rsid w:val="009D5ABE"/>
    <w:rsid w:val="009D61AF"/>
    <w:rsid w:val="009D695B"/>
    <w:rsid w:val="009D75EE"/>
    <w:rsid w:val="009D78D8"/>
    <w:rsid w:val="009E1160"/>
    <w:rsid w:val="009E1AB7"/>
    <w:rsid w:val="009E1B9A"/>
    <w:rsid w:val="009E1FAD"/>
    <w:rsid w:val="009E2516"/>
    <w:rsid w:val="009E29A5"/>
    <w:rsid w:val="009E29BE"/>
    <w:rsid w:val="009E2D28"/>
    <w:rsid w:val="009E300F"/>
    <w:rsid w:val="009E304C"/>
    <w:rsid w:val="009E3178"/>
    <w:rsid w:val="009E3467"/>
    <w:rsid w:val="009E3A52"/>
    <w:rsid w:val="009E3E5D"/>
    <w:rsid w:val="009E46CD"/>
    <w:rsid w:val="009E4DD8"/>
    <w:rsid w:val="009E4FA6"/>
    <w:rsid w:val="009E55FD"/>
    <w:rsid w:val="009E561F"/>
    <w:rsid w:val="009E5B30"/>
    <w:rsid w:val="009E5F38"/>
    <w:rsid w:val="009E612A"/>
    <w:rsid w:val="009E6256"/>
    <w:rsid w:val="009E66C3"/>
    <w:rsid w:val="009E77CA"/>
    <w:rsid w:val="009E7D93"/>
    <w:rsid w:val="009E7DA5"/>
    <w:rsid w:val="009F1164"/>
    <w:rsid w:val="009F141B"/>
    <w:rsid w:val="009F175C"/>
    <w:rsid w:val="009F1A98"/>
    <w:rsid w:val="009F1AFE"/>
    <w:rsid w:val="009F1BC8"/>
    <w:rsid w:val="009F1E9F"/>
    <w:rsid w:val="009F2620"/>
    <w:rsid w:val="009F2D84"/>
    <w:rsid w:val="009F32F8"/>
    <w:rsid w:val="009F33A8"/>
    <w:rsid w:val="009F39D2"/>
    <w:rsid w:val="009F3C34"/>
    <w:rsid w:val="009F3DDB"/>
    <w:rsid w:val="009F432F"/>
    <w:rsid w:val="009F462C"/>
    <w:rsid w:val="009F516D"/>
    <w:rsid w:val="009F5197"/>
    <w:rsid w:val="009F566C"/>
    <w:rsid w:val="009F5C33"/>
    <w:rsid w:val="009F664E"/>
    <w:rsid w:val="009F679E"/>
    <w:rsid w:val="009F6830"/>
    <w:rsid w:val="009F6CAA"/>
    <w:rsid w:val="009F769E"/>
    <w:rsid w:val="009F7990"/>
    <w:rsid w:val="009F7DF6"/>
    <w:rsid w:val="00A003BC"/>
    <w:rsid w:val="00A005DC"/>
    <w:rsid w:val="00A0069B"/>
    <w:rsid w:val="00A016E8"/>
    <w:rsid w:val="00A01D71"/>
    <w:rsid w:val="00A01EB2"/>
    <w:rsid w:val="00A0262B"/>
    <w:rsid w:val="00A026F0"/>
    <w:rsid w:val="00A02731"/>
    <w:rsid w:val="00A02EA8"/>
    <w:rsid w:val="00A02FBF"/>
    <w:rsid w:val="00A03154"/>
    <w:rsid w:val="00A03687"/>
    <w:rsid w:val="00A039A6"/>
    <w:rsid w:val="00A03EAC"/>
    <w:rsid w:val="00A04DBB"/>
    <w:rsid w:val="00A055DA"/>
    <w:rsid w:val="00A05FC2"/>
    <w:rsid w:val="00A06A82"/>
    <w:rsid w:val="00A0711A"/>
    <w:rsid w:val="00A07B54"/>
    <w:rsid w:val="00A07EA0"/>
    <w:rsid w:val="00A07ED9"/>
    <w:rsid w:val="00A10C7C"/>
    <w:rsid w:val="00A10F0A"/>
    <w:rsid w:val="00A11006"/>
    <w:rsid w:val="00A1153F"/>
    <w:rsid w:val="00A11C31"/>
    <w:rsid w:val="00A11CA6"/>
    <w:rsid w:val="00A123FF"/>
    <w:rsid w:val="00A12D90"/>
    <w:rsid w:val="00A1304A"/>
    <w:rsid w:val="00A13577"/>
    <w:rsid w:val="00A1363D"/>
    <w:rsid w:val="00A138CC"/>
    <w:rsid w:val="00A13BA0"/>
    <w:rsid w:val="00A142D2"/>
    <w:rsid w:val="00A14EAC"/>
    <w:rsid w:val="00A15444"/>
    <w:rsid w:val="00A15E79"/>
    <w:rsid w:val="00A16C08"/>
    <w:rsid w:val="00A20343"/>
    <w:rsid w:val="00A2041D"/>
    <w:rsid w:val="00A20804"/>
    <w:rsid w:val="00A20C49"/>
    <w:rsid w:val="00A213FF"/>
    <w:rsid w:val="00A21452"/>
    <w:rsid w:val="00A220D1"/>
    <w:rsid w:val="00A225C9"/>
    <w:rsid w:val="00A22932"/>
    <w:rsid w:val="00A22E64"/>
    <w:rsid w:val="00A22F18"/>
    <w:rsid w:val="00A22F3D"/>
    <w:rsid w:val="00A2357A"/>
    <w:rsid w:val="00A23A3C"/>
    <w:rsid w:val="00A23B25"/>
    <w:rsid w:val="00A2439D"/>
    <w:rsid w:val="00A24D04"/>
    <w:rsid w:val="00A2580C"/>
    <w:rsid w:val="00A25A42"/>
    <w:rsid w:val="00A269CA"/>
    <w:rsid w:val="00A2702B"/>
    <w:rsid w:val="00A30194"/>
    <w:rsid w:val="00A313FF"/>
    <w:rsid w:val="00A31ACA"/>
    <w:rsid w:val="00A31D89"/>
    <w:rsid w:val="00A32943"/>
    <w:rsid w:val="00A336EE"/>
    <w:rsid w:val="00A33968"/>
    <w:rsid w:val="00A33BAE"/>
    <w:rsid w:val="00A33C76"/>
    <w:rsid w:val="00A33CD2"/>
    <w:rsid w:val="00A33F46"/>
    <w:rsid w:val="00A34131"/>
    <w:rsid w:val="00A3427E"/>
    <w:rsid w:val="00A34700"/>
    <w:rsid w:val="00A347DF"/>
    <w:rsid w:val="00A347EB"/>
    <w:rsid w:val="00A34FC0"/>
    <w:rsid w:val="00A352E1"/>
    <w:rsid w:val="00A3541B"/>
    <w:rsid w:val="00A358C4"/>
    <w:rsid w:val="00A359AC"/>
    <w:rsid w:val="00A35A6F"/>
    <w:rsid w:val="00A35E6B"/>
    <w:rsid w:val="00A36A6B"/>
    <w:rsid w:val="00A36B83"/>
    <w:rsid w:val="00A37011"/>
    <w:rsid w:val="00A37031"/>
    <w:rsid w:val="00A37426"/>
    <w:rsid w:val="00A37623"/>
    <w:rsid w:val="00A37811"/>
    <w:rsid w:val="00A37E43"/>
    <w:rsid w:val="00A40A26"/>
    <w:rsid w:val="00A40C55"/>
    <w:rsid w:val="00A40F83"/>
    <w:rsid w:val="00A410FB"/>
    <w:rsid w:val="00A41115"/>
    <w:rsid w:val="00A411C7"/>
    <w:rsid w:val="00A41252"/>
    <w:rsid w:val="00A41413"/>
    <w:rsid w:val="00A41BE0"/>
    <w:rsid w:val="00A41EB1"/>
    <w:rsid w:val="00A42548"/>
    <w:rsid w:val="00A42606"/>
    <w:rsid w:val="00A427A2"/>
    <w:rsid w:val="00A42892"/>
    <w:rsid w:val="00A42DB8"/>
    <w:rsid w:val="00A431E6"/>
    <w:rsid w:val="00A436E8"/>
    <w:rsid w:val="00A43D2F"/>
    <w:rsid w:val="00A43DB2"/>
    <w:rsid w:val="00A44E00"/>
    <w:rsid w:val="00A45C7D"/>
    <w:rsid w:val="00A45FB1"/>
    <w:rsid w:val="00A464A8"/>
    <w:rsid w:val="00A46A0F"/>
    <w:rsid w:val="00A46CCC"/>
    <w:rsid w:val="00A47315"/>
    <w:rsid w:val="00A47952"/>
    <w:rsid w:val="00A47996"/>
    <w:rsid w:val="00A50005"/>
    <w:rsid w:val="00A50293"/>
    <w:rsid w:val="00A50BC5"/>
    <w:rsid w:val="00A51216"/>
    <w:rsid w:val="00A5138E"/>
    <w:rsid w:val="00A517AF"/>
    <w:rsid w:val="00A51CFE"/>
    <w:rsid w:val="00A51F21"/>
    <w:rsid w:val="00A5204D"/>
    <w:rsid w:val="00A521D2"/>
    <w:rsid w:val="00A52286"/>
    <w:rsid w:val="00A5295D"/>
    <w:rsid w:val="00A52B80"/>
    <w:rsid w:val="00A52E37"/>
    <w:rsid w:val="00A5339B"/>
    <w:rsid w:val="00A5354A"/>
    <w:rsid w:val="00A53605"/>
    <w:rsid w:val="00A53CD4"/>
    <w:rsid w:val="00A54550"/>
    <w:rsid w:val="00A54ECE"/>
    <w:rsid w:val="00A566D0"/>
    <w:rsid w:val="00A567F3"/>
    <w:rsid w:val="00A56E77"/>
    <w:rsid w:val="00A577A2"/>
    <w:rsid w:val="00A60CF7"/>
    <w:rsid w:val="00A61325"/>
    <w:rsid w:val="00A61605"/>
    <w:rsid w:val="00A61B09"/>
    <w:rsid w:val="00A622A6"/>
    <w:rsid w:val="00A62314"/>
    <w:rsid w:val="00A62D2B"/>
    <w:rsid w:val="00A630BF"/>
    <w:rsid w:val="00A6311D"/>
    <w:rsid w:val="00A63FB4"/>
    <w:rsid w:val="00A63FBF"/>
    <w:rsid w:val="00A64716"/>
    <w:rsid w:val="00A659EF"/>
    <w:rsid w:val="00A65ED5"/>
    <w:rsid w:val="00A65F97"/>
    <w:rsid w:val="00A66560"/>
    <w:rsid w:val="00A66A66"/>
    <w:rsid w:val="00A66E1D"/>
    <w:rsid w:val="00A67C4D"/>
    <w:rsid w:val="00A70F30"/>
    <w:rsid w:val="00A7162A"/>
    <w:rsid w:val="00A7230D"/>
    <w:rsid w:val="00A723A7"/>
    <w:rsid w:val="00A72DB7"/>
    <w:rsid w:val="00A73B04"/>
    <w:rsid w:val="00A73D66"/>
    <w:rsid w:val="00A73DC7"/>
    <w:rsid w:val="00A73E96"/>
    <w:rsid w:val="00A747BE"/>
    <w:rsid w:val="00A74BDC"/>
    <w:rsid w:val="00A75184"/>
    <w:rsid w:val="00A7581D"/>
    <w:rsid w:val="00A75835"/>
    <w:rsid w:val="00A76B2E"/>
    <w:rsid w:val="00A76BFB"/>
    <w:rsid w:val="00A76C13"/>
    <w:rsid w:val="00A76FCD"/>
    <w:rsid w:val="00A800E8"/>
    <w:rsid w:val="00A807B1"/>
    <w:rsid w:val="00A80C3A"/>
    <w:rsid w:val="00A812F5"/>
    <w:rsid w:val="00A81499"/>
    <w:rsid w:val="00A82423"/>
    <w:rsid w:val="00A84B97"/>
    <w:rsid w:val="00A84E72"/>
    <w:rsid w:val="00A84FD0"/>
    <w:rsid w:val="00A855D0"/>
    <w:rsid w:val="00A857F0"/>
    <w:rsid w:val="00A86CC0"/>
    <w:rsid w:val="00A87185"/>
    <w:rsid w:val="00A87E53"/>
    <w:rsid w:val="00A900B6"/>
    <w:rsid w:val="00A907C9"/>
    <w:rsid w:val="00A90813"/>
    <w:rsid w:val="00A912C7"/>
    <w:rsid w:val="00A9169C"/>
    <w:rsid w:val="00A91999"/>
    <w:rsid w:val="00A91AEE"/>
    <w:rsid w:val="00A92E79"/>
    <w:rsid w:val="00A9360D"/>
    <w:rsid w:val="00A93DE7"/>
    <w:rsid w:val="00A9419E"/>
    <w:rsid w:val="00A9461E"/>
    <w:rsid w:val="00A94652"/>
    <w:rsid w:val="00A94678"/>
    <w:rsid w:val="00A94C21"/>
    <w:rsid w:val="00A94EED"/>
    <w:rsid w:val="00A950B6"/>
    <w:rsid w:val="00A953C7"/>
    <w:rsid w:val="00A95576"/>
    <w:rsid w:val="00A95D45"/>
    <w:rsid w:val="00A95F04"/>
    <w:rsid w:val="00A96098"/>
    <w:rsid w:val="00A9614F"/>
    <w:rsid w:val="00A962E0"/>
    <w:rsid w:val="00A97490"/>
    <w:rsid w:val="00A97C19"/>
    <w:rsid w:val="00AA10C1"/>
    <w:rsid w:val="00AA1952"/>
    <w:rsid w:val="00AA2C07"/>
    <w:rsid w:val="00AA3753"/>
    <w:rsid w:val="00AA3E36"/>
    <w:rsid w:val="00AA3EA8"/>
    <w:rsid w:val="00AA41DE"/>
    <w:rsid w:val="00AA4918"/>
    <w:rsid w:val="00AA4BBA"/>
    <w:rsid w:val="00AA514A"/>
    <w:rsid w:val="00AA57D7"/>
    <w:rsid w:val="00AA590D"/>
    <w:rsid w:val="00AA5C65"/>
    <w:rsid w:val="00AA5D14"/>
    <w:rsid w:val="00AA6697"/>
    <w:rsid w:val="00AA6830"/>
    <w:rsid w:val="00AA68FC"/>
    <w:rsid w:val="00AA6EB7"/>
    <w:rsid w:val="00AA7999"/>
    <w:rsid w:val="00AA7B78"/>
    <w:rsid w:val="00AA7C77"/>
    <w:rsid w:val="00AB0448"/>
    <w:rsid w:val="00AB0B95"/>
    <w:rsid w:val="00AB1254"/>
    <w:rsid w:val="00AB172D"/>
    <w:rsid w:val="00AB17BB"/>
    <w:rsid w:val="00AB1C11"/>
    <w:rsid w:val="00AB2071"/>
    <w:rsid w:val="00AB2C35"/>
    <w:rsid w:val="00AB2D6D"/>
    <w:rsid w:val="00AB32B1"/>
    <w:rsid w:val="00AB378D"/>
    <w:rsid w:val="00AB3952"/>
    <w:rsid w:val="00AB3A4C"/>
    <w:rsid w:val="00AB3FB1"/>
    <w:rsid w:val="00AB4056"/>
    <w:rsid w:val="00AB41C1"/>
    <w:rsid w:val="00AB4CF2"/>
    <w:rsid w:val="00AB5086"/>
    <w:rsid w:val="00AB51C5"/>
    <w:rsid w:val="00AB58ED"/>
    <w:rsid w:val="00AB5C66"/>
    <w:rsid w:val="00AB605E"/>
    <w:rsid w:val="00AB68E8"/>
    <w:rsid w:val="00AB6BB7"/>
    <w:rsid w:val="00AB6CCA"/>
    <w:rsid w:val="00AC062C"/>
    <w:rsid w:val="00AC0D15"/>
    <w:rsid w:val="00AC1030"/>
    <w:rsid w:val="00AC1067"/>
    <w:rsid w:val="00AC118D"/>
    <w:rsid w:val="00AC13F1"/>
    <w:rsid w:val="00AC14D7"/>
    <w:rsid w:val="00AC1E60"/>
    <w:rsid w:val="00AC21BA"/>
    <w:rsid w:val="00AC223F"/>
    <w:rsid w:val="00AC2A64"/>
    <w:rsid w:val="00AC33B1"/>
    <w:rsid w:val="00AC3629"/>
    <w:rsid w:val="00AC3CD5"/>
    <w:rsid w:val="00AC3F6F"/>
    <w:rsid w:val="00AC4080"/>
    <w:rsid w:val="00AC4854"/>
    <w:rsid w:val="00AC5052"/>
    <w:rsid w:val="00AC5A93"/>
    <w:rsid w:val="00AC631C"/>
    <w:rsid w:val="00AC655D"/>
    <w:rsid w:val="00AC68A2"/>
    <w:rsid w:val="00AC733E"/>
    <w:rsid w:val="00AC7A5F"/>
    <w:rsid w:val="00AD123D"/>
    <w:rsid w:val="00AD12A8"/>
    <w:rsid w:val="00AD20A8"/>
    <w:rsid w:val="00AD20D4"/>
    <w:rsid w:val="00AD2348"/>
    <w:rsid w:val="00AD24A1"/>
    <w:rsid w:val="00AD332B"/>
    <w:rsid w:val="00AD3399"/>
    <w:rsid w:val="00AD3979"/>
    <w:rsid w:val="00AD3AA1"/>
    <w:rsid w:val="00AD3CE3"/>
    <w:rsid w:val="00AD3D0C"/>
    <w:rsid w:val="00AD4931"/>
    <w:rsid w:val="00AD52E6"/>
    <w:rsid w:val="00AD5563"/>
    <w:rsid w:val="00AD6108"/>
    <w:rsid w:val="00AD6C26"/>
    <w:rsid w:val="00AD70C8"/>
    <w:rsid w:val="00AD72AD"/>
    <w:rsid w:val="00AD7405"/>
    <w:rsid w:val="00AD7652"/>
    <w:rsid w:val="00AE023F"/>
    <w:rsid w:val="00AE0308"/>
    <w:rsid w:val="00AE0FAB"/>
    <w:rsid w:val="00AE0FB1"/>
    <w:rsid w:val="00AE1013"/>
    <w:rsid w:val="00AE10AC"/>
    <w:rsid w:val="00AE1B42"/>
    <w:rsid w:val="00AE2194"/>
    <w:rsid w:val="00AE21EE"/>
    <w:rsid w:val="00AE22FE"/>
    <w:rsid w:val="00AE266B"/>
    <w:rsid w:val="00AE2A25"/>
    <w:rsid w:val="00AE2C29"/>
    <w:rsid w:val="00AE2CA9"/>
    <w:rsid w:val="00AE3BC8"/>
    <w:rsid w:val="00AE4069"/>
    <w:rsid w:val="00AE4460"/>
    <w:rsid w:val="00AE5691"/>
    <w:rsid w:val="00AE5BF7"/>
    <w:rsid w:val="00AE5F3E"/>
    <w:rsid w:val="00AE63B0"/>
    <w:rsid w:val="00AE642D"/>
    <w:rsid w:val="00AE64F9"/>
    <w:rsid w:val="00AE69BD"/>
    <w:rsid w:val="00AE732A"/>
    <w:rsid w:val="00AE7725"/>
    <w:rsid w:val="00AF0035"/>
    <w:rsid w:val="00AF04B9"/>
    <w:rsid w:val="00AF0500"/>
    <w:rsid w:val="00AF0732"/>
    <w:rsid w:val="00AF0C46"/>
    <w:rsid w:val="00AF1D99"/>
    <w:rsid w:val="00AF26BB"/>
    <w:rsid w:val="00AF31AA"/>
    <w:rsid w:val="00AF3577"/>
    <w:rsid w:val="00AF35F9"/>
    <w:rsid w:val="00AF3763"/>
    <w:rsid w:val="00AF37E9"/>
    <w:rsid w:val="00AF4260"/>
    <w:rsid w:val="00AF4452"/>
    <w:rsid w:val="00AF4D3F"/>
    <w:rsid w:val="00AF5214"/>
    <w:rsid w:val="00AF5242"/>
    <w:rsid w:val="00AF536B"/>
    <w:rsid w:val="00AF5787"/>
    <w:rsid w:val="00AF5ACD"/>
    <w:rsid w:val="00AF63B8"/>
    <w:rsid w:val="00AF64B7"/>
    <w:rsid w:val="00AF66D1"/>
    <w:rsid w:val="00AF6D19"/>
    <w:rsid w:val="00AF7436"/>
    <w:rsid w:val="00AF74A1"/>
    <w:rsid w:val="00AF77B7"/>
    <w:rsid w:val="00B000FC"/>
    <w:rsid w:val="00B00248"/>
    <w:rsid w:val="00B0186B"/>
    <w:rsid w:val="00B01A35"/>
    <w:rsid w:val="00B021F6"/>
    <w:rsid w:val="00B02835"/>
    <w:rsid w:val="00B028D9"/>
    <w:rsid w:val="00B02B43"/>
    <w:rsid w:val="00B02C97"/>
    <w:rsid w:val="00B03A7D"/>
    <w:rsid w:val="00B04092"/>
    <w:rsid w:val="00B040FE"/>
    <w:rsid w:val="00B0424C"/>
    <w:rsid w:val="00B044D4"/>
    <w:rsid w:val="00B056FB"/>
    <w:rsid w:val="00B058AF"/>
    <w:rsid w:val="00B05A7D"/>
    <w:rsid w:val="00B05C7D"/>
    <w:rsid w:val="00B06145"/>
    <w:rsid w:val="00B061B2"/>
    <w:rsid w:val="00B0689A"/>
    <w:rsid w:val="00B06F71"/>
    <w:rsid w:val="00B0774F"/>
    <w:rsid w:val="00B078F7"/>
    <w:rsid w:val="00B07922"/>
    <w:rsid w:val="00B07F86"/>
    <w:rsid w:val="00B100BB"/>
    <w:rsid w:val="00B1067A"/>
    <w:rsid w:val="00B10B25"/>
    <w:rsid w:val="00B11355"/>
    <w:rsid w:val="00B1220F"/>
    <w:rsid w:val="00B12340"/>
    <w:rsid w:val="00B12636"/>
    <w:rsid w:val="00B12FF0"/>
    <w:rsid w:val="00B13303"/>
    <w:rsid w:val="00B133E2"/>
    <w:rsid w:val="00B13517"/>
    <w:rsid w:val="00B13BB5"/>
    <w:rsid w:val="00B13D54"/>
    <w:rsid w:val="00B1433F"/>
    <w:rsid w:val="00B14762"/>
    <w:rsid w:val="00B14B29"/>
    <w:rsid w:val="00B15602"/>
    <w:rsid w:val="00B15B0A"/>
    <w:rsid w:val="00B15D57"/>
    <w:rsid w:val="00B16347"/>
    <w:rsid w:val="00B165DA"/>
    <w:rsid w:val="00B16964"/>
    <w:rsid w:val="00B16FB4"/>
    <w:rsid w:val="00B17746"/>
    <w:rsid w:val="00B17D6C"/>
    <w:rsid w:val="00B17D6E"/>
    <w:rsid w:val="00B20466"/>
    <w:rsid w:val="00B206BB"/>
    <w:rsid w:val="00B21306"/>
    <w:rsid w:val="00B21C6C"/>
    <w:rsid w:val="00B21D7D"/>
    <w:rsid w:val="00B2209A"/>
    <w:rsid w:val="00B22FBD"/>
    <w:rsid w:val="00B231BF"/>
    <w:rsid w:val="00B23985"/>
    <w:rsid w:val="00B240E3"/>
    <w:rsid w:val="00B2435E"/>
    <w:rsid w:val="00B24429"/>
    <w:rsid w:val="00B2467A"/>
    <w:rsid w:val="00B2470C"/>
    <w:rsid w:val="00B24985"/>
    <w:rsid w:val="00B25363"/>
    <w:rsid w:val="00B253F9"/>
    <w:rsid w:val="00B256E7"/>
    <w:rsid w:val="00B25C07"/>
    <w:rsid w:val="00B25F47"/>
    <w:rsid w:val="00B26B18"/>
    <w:rsid w:val="00B27D11"/>
    <w:rsid w:val="00B27EC7"/>
    <w:rsid w:val="00B27F6E"/>
    <w:rsid w:val="00B30F24"/>
    <w:rsid w:val="00B31C0A"/>
    <w:rsid w:val="00B31F49"/>
    <w:rsid w:val="00B320D2"/>
    <w:rsid w:val="00B32FEF"/>
    <w:rsid w:val="00B33AA3"/>
    <w:rsid w:val="00B346C3"/>
    <w:rsid w:val="00B34AEC"/>
    <w:rsid w:val="00B3629C"/>
    <w:rsid w:val="00B368AD"/>
    <w:rsid w:val="00B37773"/>
    <w:rsid w:val="00B379DD"/>
    <w:rsid w:val="00B37C7D"/>
    <w:rsid w:val="00B4005C"/>
    <w:rsid w:val="00B41017"/>
    <w:rsid w:val="00B4183F"/>
    <w:rsid w:val="00B4227E"/>
    <w:rsid w:val="00B4229F"/>
    <w:rsid w:val="00B42467"/>
    <w:rsid w:val="00B42943"/>
    <w:rsid w:val="00B43B8C"/>
    <w:rsid w:val="00B4471C"/>
    <w:rsid w:val="00B448B4"/>
    <w:rsid w:val="00B44CF7"/>
    <w:rsid w:val="00B44E90"/>
    <w:rsid w:val="00B44F06"/>
    <w:rsid w:val="00B451A6"/>
    <w:rsid w:val="00B4665E"/>
    <w:rsid w:val="00B46E44"/>
    <w:rsid w:val="00B4713F"/>
    <w:rsid w:val="00B47839"/>
    <w:rsid w:val="00B50454"/>
    <w:rsid w:val="00B51026"/>
    <w:rsid w:val="00B5189E"/>
    <w:rsid w:val="00B51AA5"/>
    <w:rsid w:val="00B5279F"/>
    <w:rsid w:val="00B5293B"/>
    <w:rsid w:val="00B52F5D"/>
    <w:rsid w:val="00B53737"/>
    <w:rsid w:val="00B5392A"/>
    <w:rsid w:val="00B53D94"/>
    <w:rsid w:val="00B53E95"/>
    <w:rsid w:val="00B54411"/>
    <w:rsid w:val="00B54986"/>
    <w:rsid w:val="00B5584B"/>
    <w:rsid w:val="00B55936"/>
    <w:rsid w:val="00B55A15"/>
    <w:rsid w:val="00B56547"/>
    <w:rsid w:val="00B565D9"/>
    <w:rsid w:val="00B56653"/>
    <w:rsid w:val="00B56BD4"/>
    <w:rsid w:val="00B56D6E"/>
    <w:rsid w:val="00B574F5"/>
    <w:rsid w:val="00B57EF9"/>
    <w:rsid w:val="00B57FED"/>
    <w:rsid w:val="00B606E3"/>
    <w:rsid w:val="00B60C35"/>
    <w:rsid w:val="00B60C8E"/>
    <w:rsid w:val="00B60FCD"/>
    <w:rsid w:val="00B611E4"/>
    <w:rsid w:val="00B6170D"/>
    <w:rsid w:val="00B61C64"/>
    <w:rsid w:val="00B62384"/>
    <w:rsid w:val="00B634FD"/>
    <w:rsid w:val="00B635D2"/>
    <w:rsid w:val="00B64063"/>
    <w:rsid w:val="00B64347"/>
    <w:rsid w:val="00B64E14"/>
    <w:rsid w:val="00B658F9"/>
    <w:rsid w:val="00B65C1F"/>
    <w:rsid w:val="00B65D56"/>
    <w:rsid w:val="00B65DC6"/>
    <w:rsid w:val="00B662B4"/>
    <w:rsid w:val="00B665F0"/>
    <w:rsid w:val="00B66927"/>
    <w:rsid w:val="00B67676"/>
    <w:rsid w:val="00B67AC2"/>
    <w:rsid w:val="00B702AA"/>
    <w:rsid w:val="00B70FB5"/>
    <w:rsid w:val="00B710F2"/>
    <w:rsid w:val="00B718EB"/>
    <w:rsid w:val="00B71951"/>
    <w:rsid w:val="00B71DA3"/>
    <w:rsid w:val="00B72200"/>
    <w:rsid w:val="00B722DE"/>
    <w:rsid w:val="00B7253D"/>
    <w:rsid w:val="00B72697"/>
    <w:rsid w:val="00B72A92"/>
    <w:rsid w:val="00B72A95"/>
    <w:rsid w:val="00B73365"/>
    <w:rsid w:val="00B73A78"/>
    <w:rsid w:val="00B73CF9"/>
    <w:rsid w:val="00B73F87"/>
    <w:rsid w:val="00B74B7C"/>
    <w:rsid w:val="00B751E3"/>
    <w:rsid w:val="00B75588"/>
    <w:rsid w:val="00B75BA6"/>
    <w:rsid w:val="00B75C70"/>
    <w:rsid w:val="00B75ED0"/>
    <w:rsid w:val="00B76907"/>
    <w:rsid w:val="00B76C44"/>
    <w:rsid w:val="00B76E15"/>
    <w:rsid w:val="00B7718F"/>
    <w:rsid w:val="00B800B1"/>
    <w:rsid w:val="00B805FD"/>
    <w:rsid w:val="00B80918"/>
    <w:rsid w:val="00B809BE"/>
    <w:rsid w:val="00B80D63"/>
    <w:rsid w:val="00B80FA6"/>
    <w:rsid w:val="00B811F1"/>
    <w:rsid w:val="00B8184A"/>
    <w:rsid w:val="00B82283"/>
    <w:rsid w:val="00B823FA"/>
    <w:rsid w:val="00B828D8"/>
    <w:rsid w:val="00B829DB"/>
    <w:rsid w:val="00B82A6B"/>
    <w:rsid w:val="00B83F87"/>
    <w:rsid w:val="00B847E4"/>
    <w:rsid w:val="00B84C10"/>
    <w:rsid w:val="00B84C11"/>
    <w:rsid w:val="00B85BEA"/>
    <w:rsid w:val="00B85E2F"/>
    <w:rsid w:val="00B865E2"/>
    <w:rsid w:val="00B86AD5"/>
    <w:rsid w:val="00B86B48"/>
    <w:rsid w:val="00B87926"/>
    <w:rsid w:val="00B87CDC"/>
    <w:rsid w:val="00B87FA6"/>
    <w:rsid w:val="00B90183"/>
    <w:rsid w:val="00B90DF5"/>
    <w:rsid w:val="00B910C1"/>
    <w:rsid w:val="00B9135F"/>
    <w:rsid w:val="00B915F7"/>
    <w:rsid w:val="00B9244E"/>
    <w:rsid w:val="00B9275E"/>
    <w:rsid w:val="00B92A42"/>
    <w:rsid w:val="00B93443"/>
    <w:rsid w:val="00B9388B"/>
    <w:rsid w:val="00B940A4"/>
    <w:rsid w:val="00B94159"/>
    <w:rsid w:val="00B94738"/>
    <w:rsid w:val="00B95420"/>
    <w:rsid w:val="00B957DC"/>
    <w:rsid w:val="00B95C12"/>
    <w:rsid w:val="00B95DEA"/>
    <w:rsid w:val="00B96132"/>
    <w:rsid w:val="00B9651E"/>
    <w:rsid w:val="00B971CE"/>
    <w:rsid w:val="00B9721F"/>
    <w:rsid w:val="00B9755A"/>
    <w:rsid w:val="00B976FA"/>
    <w:rsid w:val="00B97A03"/>
    <w:rsid w:val="00B97D8E"/>
    <w:rsid w:val="00B97E70"/>
    <w:rsid w:val="00BA080B"/>
    <w:rsid w:val="00BA082F"/>
    <w:rsid w:val="00BA229A"/>
    <w:rsid w:val="00BA2CA4"/>
    <w:rsid w:val="00BA2EFA"/>
    <w:rsid w:val="00BA316B"/>
    <w:rsid w:val="00BA3C90"/>
    <w:rsid w:val="00BA3DBC"/>
    <w:rsid w:val="00BA3E14"/>
    <w:rsid w:val="00BA4E63"/>
    <w:rsid w:val="00BA5075"/>
    <w:rsid w:val="00BA6181"/>
    <w:rsid w:val="00BA6424"/>
    <w:rsid w:val="00BA6442"/>
    <w:rsid w:val="00BA65F4"/>
    <w:rsid w:val="00BA67E2"/>
    <w:rsid w:val="00BA705F"/>
    <w:rsid w:val="00BA7077"/>
    <w:rsid w:val="00BA707A"/>
    <w:rsid w:val="00BA7328"/>
    <w:rsid w:val="00BB0C10"/>
    <w:rsid w:val="00BB150C"/>
    <w:rsid w:val="00BB1AFB"/>
    <w:rsid w:val="00BB1BBE"/>
    <w:rsid w:val="00BB1D49"/>
    <w:rsid w:val="00BB248C"/>
    <w:rsid w:val="00BB27AE"/>
    <w:rsid w:val="00BB27FB"/>
    <w:rsid w:val="00BB2BFE"/>
    <w:rsid w:val="00BB2DA2"/>
    <w:rsid w:val="00BB2DE1"/>
    <w:rsid w:val="00BB3002"/>
    <w:rsid w:val="00BB3266"/>
    <w:rsid w:val="00BB56DC"/>
    <w:rsid w:val="00BB5701"/>
    <w:rsid w:val="00BB57ED"/>
    <w:rsid w:val="00BB5945"/>
    <w:rsid w:val="00BB614C"/>
    <w:rsid w:val="00BB67EA"/>
    <w:rsid w:val="00BB6A7A"/>
    <w:rsid w:val="00BB70F6"/>
    <w:rsid w:val="00BB74E5"/>
    <w:rsid w:val="00BC0999"/>
    <w:rsid w:val="00BC0F42"/>
    <w:rsid w:val="00BC1065"/>
    <w:rsid w:val="00BC1D0F"/>
    <w:rsid w:val="00BC2B51"/>
    <w:rsid w:val="00BC2C71"/>
    <w:rsid w:val="00BC2D46"/>
    <w:rsid w:val="00BC31B6"/>
    <w:rsid w:val="00BC3D73"/>
    <w:rsid w:val="00BC3E6E"/>
    <w:rsid w:val="00BC4276"/>
    <w:rsid w:val="00BC44B3"/>
    <w:rsid w:val="00BC45CC"/>
    <w:rsid w:val="00BC4C2A"/>
    <w:rsid w:val="00BC5789"/>
    <w:rsid w:val="00BC58B3"/>
    <w:rsid w:val="00BC59C8"/>
    <w:rsid w:val="00BC5FE5"/>
    <w:rsid w:val="00BC604F"/>
    <w:rsid w:val="00BC669F"/>
    <w:rsid w:val="00BC670E"/>
    <w:rsid w:val="00BC68A9"/>
    <w:rsid w:val="00BC6F12"/>
    <w:rsid w:val="00BC736C"/>
    <w:rsid w:val="00BD009D"/>
    <w:rsid w:val="00BD068D"/>
    <w:rsid w:val="00BD0746"/>
    <w:rsid w:val="00BD0813"/>
    <w:rsid w:val="00BD0F2E"/>
    <w:rsid w:val="00BD1578"/>
    <w:rsid w:val="00BD1C92"/>
    <w:rsid w:val="00BD206D"/>
    <w:rsid w:val="00BD2B33"/>
    <w:rsid w:val="00BD3735"/>
    <w:rsid w:val="00BD3840"/>
    <w:rsid w:val="00BD3E71"/>
    <w:rsid w:val="00BD40CC"/>
    <w:rsid w:val="00BD4479"/>
    <w:rsid w:val="00BD4749"/>
    <w:rsid w:val="00BD47A0"/>
    <w:rsid w:val="00BD4AC1"/>
    <w:rsid w:val="00BD52C5"/>
    <w:rsid w:val="00BD5352"/>
    <w:rsid w:val="00BD6107"/>
    <w:rsid w:val="00BD6112"/>
    <w:rsid w:val="00BD7548"/>
    <w:rsid w:val="00BE07F6"/>
    <w:rsid w:val="00BE0E34"/>
    <w:rsid w:val="00BE0F7A"/>
    <w:rsid w:val="00BE1260"/>
    <w:rsid w:val="00BE1689"/>
    <w:rsid w:val="00BE183D"/>
    <w:rsid w:val="00BE22FB"/>
    <w:rsid w:val="00BE2937"/>
    <w:rsid w:val="00BE2D34"/>
    <w:rsid w:val="00BE358B"/>
    <w:rsid w:val="00BE3819"/>
    <w:rsid w:val="00BE42AC"/>
    <w:rsid w:val="00BE4488"/>
    <w:rsid w:val="00BE489E"/>
    <w:rsid w:val="00BE49E4"/>
    <w:rsid w:val="00BE56A2"/>
    <w:rsid w:val="00BE66B4"/>
    <w:rsid w:val="00BE675D"/>
    <w:rsid w:val="00BE6956"/>
    <w:rsid w:val="00BF0115"/>
    <w:rsid w:val="00BF063C"/>
    <w:rsid w:val="00BF0AC3"/>
    <w:rsid w:val="00BF1048"/>
    <w:rsid w:val="00BF12FF"/>
    <w:rsid w:val="00BF1401"/>
    <w:rsid w:val="00BF154C"/>
    <w:rsid w:val="00BF1C78"/>
    <w:rsid w:val="00BF1D5A"/>
    <w:rsid w:val="00BF23BC"/>
    <w:rsid w:val="00BF24C2"/>
    <w:rsid w:val="00BF2827"/>
    <w:rsid w:val="00BF2922"/>
    <w:rsid w:val="00BF2B15"/>
    <w:rsid w:val="00BF2FC5"/>
    <w:rsid w:val="00BF30C1"/>
    <w:rsid w:val="00BF30FF"/>
    <w:rsid w:val="00BF3304"/>
    <w:rsid w:val="00BF33B6"/>
    <w:rsid w:val="00BF3D88"/>
    <w:rsid w:val="00BF4099"/>
    <w:rsid w:val="00BF428C"/>
    <w:rsid w:val="00BF4B1D"/>
    <w:rsid w:val="00BF4C41"/>
    <w:rsid w:val="00BF4EDA"/>
    <w:rsid w:val="00BF5079"/>
    <w:rsid w:val="00BF528A"/>
    <w:rsid w:val="00BF5D7A"/>
    <w:rsid w:val="00BF6B99"/>
    <w:rsid w:val="00BF6C46"/>
    <w:rsid w:val="00BF7338"/>
    <w:rsid w:val="00BF7359"/>
    <w:rsid w:val="00BF754B"/>
    <w:rsid w:val="00BF7F6C"/>
    <w:rsid w:val="00C002A5"/>
    <w:rsid w:val="00C00B7A"/>
    <w:rsid w:val="00C013F1"/>
    <w:rsid w:val="00C0162E"/>
    <w:rsid w:val="00C016C5"/>
    <w:rsid w:val="00C01C2E"/>
    <w:rsid w:val="00C02146"/>
    <w:rsid w:val="00C024B6"/>
    <w:rsid w:val="00C0276F"/>
    <w:rsid w:val="00C02D33"/>
    <w:rsid w:val="00C03144"/>
    <w:rsid w:val="00C032EC"/>
    <w:rsid w:val="00C03B2B"/>
    <w:rsid w:val="00C0447E"/>
    <w:rsid w:val="00C04B38"/>
    <w:rsid w:val="00C04B53"/>
    <w:rsid w:val="00C05C53"/>
    <w:rsid w:val="00C06657"/>
    <w:rsid w:val="00C06EA9"/>
    <w:rsid w:val="00C104B6"/>
    <w:rsid w:val="00C10A3B"/>
    <w:rsid w:val="00C10B56"/>
    <w:rsid w:val="00C114A9"/>
    <w:rsid w:val="00C11594"/>
    <w:rsid w:val="00C119A4"/>
    <w:rsid w:val="00C1210A"/>
    <w:rsid w:val="00C1232C"/>
    <w:rsid w:val="00C12606"/>
    <w:rsid w:val="00C13485"/>
    <w:rsid w:val="00C13C1A"/>
    <w:rsid w:val="00C13E16"/>
    <w:rsid w:val="00C13FAF"/>
    <w:rsid w:val="00C14623"/>
    <w:rsid w:val="00C14BF4"/>
    <w:rsid w:val="00C156A5"/>
    <w:rsid w:val="00C156CA"/>
    <w:rsid w:val="00C15B94"/>
    <w:rsid w:val="00C16C65"/>
    <w:rsid w:val="00C1734B"/>
    <w:rsid w:val="00C20E5D"/>
    <w:rsid w:val="00C20FF2"/>
    <w:rsid w:val="00C210A0"/>
    <w:rsid w:val="00C21323"/>
    <w:rsid w:val="00C2289D"/>
    <w:rsid w:val="00C22E90"/>
    <w:rsid w:val="00C22F5E"/>
    <w:rsid w:val="00C231F2"/>
    <w:rsid w:val="00C237FD"/>
    <w:rsid w:val="00C23DE4"/>
    <w:rsid w:val="00C23ED1"/>
    <w:rsid w:val="00C240D0"/>
    <w:rsid w:val="00C25478"/>
    <w:rsid w:val="00C25CC6"/>
    <w:rsid w:val="00C26305"/>
    <w:rsid w:val="00C26968"/>
    <w:rsid w:val="00C26E1C"/>
    <w:rsid w:val="00C2762F"/>
    <w:rsid w:val="00C27C6B"/>
    <w:rsid w:val="00C30BFE"/>
    <w:rsid w:val="00C30CAD"/>
    <w:rsid w:val="00C30F31"/>
    <w:rsid w:val="00C31083"/>
    <w:rsid w:val="00C3193F"/>
    <w:rsid w:val="00C31CE0"/>
    <w:rsid w:val="00C32474"/>
    <w:rsid w:val="00C32839"/>
    <w:rsid w:val="00C33D80"/>
    <w:rsid w:val="00C340EC"/>
    <w:rsid w:val="00C34A0C"/>
    <w:rsid w:val="00C34C11"/>
    <w:rsid w:val="00C3594D"/>
    <w:rsid w:val="00C35F3B"/>
    <w:rsid w:val="00C36339"/>
    <w:rsid w:val="00C36442"/>
    <w:rsid w:val="00C36B32"/>
    <w:rsid w:val="00C373A6"/>
    <w:rsid w:val="00C400CE"/>
    <w:rsid w:val="00C4084A"/>
    <w:rsid w:val="00C40E67"/>
    <w:rsid w:val="00C410FD"/>
    <w:rsid w:val="00C41598"/>
    <w:rsid w:val="00C41E15"/>
    <w:rsid w:val="00C41E82"/>
    <w:rsid w:val="00C425CE"/>
    <w:rsid w:val="00C4285C"/>
    <w:rsid w:val="00C429C6"/>
    <w:rsid w:val="00C42A27"/>
    <w:rsid w:val="00C42C55"/>
    <w:rsid w:val="00C44693"/>
    <w:rsid w:val="00C44974"/>
    <w:rsid w:val="00C44B55"/>
    <w:rsid w:val="00C454AA"/>
    <w:rsid w:val="00C457DE"/>
    <w:rsid w:val="00C4581C"/>
    <w:rsid w:val="00C46062"/>
    <w:rsid w:val="00C46247"/>
    <w:rsid w:val="00C469CC"/>
    <w:rsid w:val="00C46FBA"/>
    <w:rsid w:val="00C47968"/>
    <w:rsid w:val="00C47B6C"/>
    <w:rsid w:val="00C47C78"/>
    <w:rsid w:val="00C47DD3"/>
    <w:rsid w:val="00C47E67"/>
    <w:rsid w:val="00C50FA6"/>
    <w:rsid w:val="00C5123E"/>
    <w:rsid w:val="00C5156F"/>
    <w:rsid w:val="00C51B31"/>
    <w:rsid w:val="00C5207D"/>
    <w:rsid w:val="00C524DF"/>
    <w:rsid w:val="00C52B3C"/>
    <w:rsid w:val="00C52B71"/>
    <w:rsid w:val="00C52BBE"/>
    <w:rsid w:val="00C5316F"/>
    <w:rsid w:val="00C53206"/>
    <w:rsid w:val="00C53562"/>
    <w:rsid w:val="00C53745"/>
    <w:rsid w:val="00C539FB"/>
    <w:rsid w:val="00C53BA3"/>
    <w:rsid w:val="00C54506"/>
    <w:rsid w:val="00C54694"/>
    <w:rsid w:val="00C5500A"/>
    <w:rsid w:val="00C5503C"/>
    <w:rsid w:val="00C553B4"/>
    <w:rsid w:val="00C55885"/>
    <w:rsid w:val="00C55B4A"/>
    <w:rsid w:val="00C55C2D"/>
    <w:rsid w:val="00C56F1B"/>
    <w:rsid w:val="00C571F1"/>
    <w:rsid w:val="00C57D79"/>
    <w:rsid w:val="00C57E57"/>
    <w:rsid w:val="00C60CB8"/>
    <w:rsid w:val="00C61033"/>
    <w:rsid w:val="00C615EF"/>
    <w:rsid w:val="00C62CFD"/>
    <w:rsid w:val="00C63610"/>
    <w:rsid w:val="00C63A2D"/>
    <w:rsid w:val="00C63D3B"/>
    <w:rsid w:val="00C64190"/>
    <w:rsid w:val="00C6465B"/>
    <w:rsid w:val="00C64B12"/>
    <w:rsid w:val="00C65790"/>
    <w:rsid w:val="00C65A2A"/>
    <w:rsid w:val="00C65E62"/>
    <w:rsid w:val="00C6628B"/>
    <w:rsid w:val="00C6641D"/>
    <w:rsid w:val="00C66552"/>
    <w:rsid w:val="00C66AA3"/>
    <w:rsid w:val="00C66E57"/>
    <w:rsid w:val="00C672FC"/>
    <w:rsid w:val="00C6773A"/>
    <w:rsid w:val="00C679BF"/>
    <w:rsid w:val="00C67C33"/>
    <w:rsid w:val="00C709B6"/>
    <w:rsid w:val="00C71002"/>
    <w:rsid w:val="00C71177"/>
    <w:rsid w:val="00C715C4"/>
    <w:rsid w:val="00C7214C"/>
    <w:rsid w:val="00C7218D"/>
    <w:rsid w:val="00C724D7"/>
    <w:rsid w:val="00C72AA6"/>
    <w:rsid w:val="00C73570"/>
    <w:rsid w:val="00C73C48"/>
    <w:rsid w:val="00C74150"/>
    <w:rsid w:val="00C74A1E"/>
    <w:rsid w:val="00C75594"/>
    <w:rsid w:val="00C755BF"/>
    <w:rsid w:val="00C75B74"/>
    <w:rsid w:val="00C75E06"/>
    <w:rsid w:val="00C7693B"/>
    <w:rsid w:val="00C76A95"/>
    <w:rsid w:val="00C76BB9"/>
    <w:rsid w:val="00C76F84"/>
    <w:rsid w:val="00C7752F"/>
    <w:rsid w:val="00C77584"/>
    <w:rsid w:val="00C80319"/>
    <w:rsid w:val="00C816BF"/>
    <w:rsid w:val="00C81B25"/>
    <w:rsid w:val="00C81C9C"/>
    <w:rsid w:val="00C8299A"/>
    <w:rsid w:val="00C834A7"/>
    <w:rsid w:val="00C834D4"/>
    <w:rsid w:val="00C83A20"/>
    <w:rsid w:val="00C83C9F"/>
    <w:rsid w:val="00C849FB"/>
    <w:rsid w:val="00C84DB9"/>
    <w:rsid w:val="00C853DE"/>
    <w:rsid w:val="00C85774"/>
    <w:rsid w:val="00C85982"/>
    <w:rsid w:val="00C869BF"/>
    <w:rsid w:val="00C86E98"/>
    <w:rsid w:val="00C87113"/>
    <w:rsid w:val="00C8771F"/>
    <w:rsid w:val="00C87981"/>
    <w:rsid w:val="00C90175"/>
    <w:rsid w:val="00C9058C"/>
    <w:rsid w:val="00C907AC"/>
    <w:rsid w:val="00C90E80"/>
    <w:rsid w:val="00C91640"/>
    <w:rsid w:val="00C918FB"/>
    <w:rsid w:val="00C91C61"/>
    <w:rsid w:val="00C91EE1"/>
    <w:rsid w:val="00C9269F"/>
    <w:rsid w:val="00C9297E"/>
    <w:rsid w:val="00C939B7"/>
    <w:rsid w:val="00C93ACB"/>
    <w:rsid w:val="00C93DAC"/>
    <w:rsid w:val="00C948E9"/>
    <w:rsid w:val="00C95BA6"/>
    <w:rsid w:val="00C95C41"/>
    <w:rsid w:val="00C975AD"/>
    <w:rsid w:val="00C97664"/>
    <w:rsid w:val="00C97F39"/>
    <w:rsid w:val="00CA0466"/>
    <w:rsid w:val="00CA0CF2"/>
    <w:rsid w:val="00CA1325"/>
    <w:rsid w:val="00CA19CC"/>
    <w:rsid w:val="00CA2029"/>
    <w:rsid w:val="00CA2203"/>
    <w:rsid w:val="00CA246D"/>
    <w:rsid w:val="00CA2A5D"/>
    <w:rsid w:val="00CA2EFF"/>
    <w:rsid w:val="00CA301C"/>
    <w:rsid w:val="00CA32C9"/>
    <w:rsid w:val="00CA47C0"/>
    <w:rsid w:val="00CA4DCE"/>
    <w:rsid w:val="00CA50D9"/>
    <w:rsid w:val="00CA5408"/>
    <w:rsid w:val="00CA5603"/>
    <w:rsid w:val="00CA5631"/>
    <w:rsid w:val="00CA5F06"/>
    <w:rsid w:val="00CA718E"/>
    <w:rsid w:val="00CA7F52"/>
    <w:rsid w:val="00CB01CD"/>
    <w:rsid w:val="00CB07EC"/>
    <w:rsid w:val="00CB2462"/>
    <w:rsid w:val="00CB2986"/>
    <w:rsid w:val="00CB2BEA"/>
    <w:rsid w:val="00CB2E85"/>
    <w:rsid w:val="00CB2F86"/>
    <w:rsid w:val="00CB3054"/>
    <w:rsid w:val="00CB30BD"/>
    <w:rsid w:val="00CB3594"/>
    <w:rsid w:val="00CB48F7"/>
    <w:rsid w:val="00CB4BEE"/>
    <w:rsid w:val="00CB53B0"/>
    <w:rsid w:val="00CB5636"/>
    <w:rsid w:val="00CB5A2E"/>
    <w:rsid w:val="00CB5B05"/>
    <w:rsid w:val="00CB5DB5"/>
    <w:rsid w:val="00CB5F30"/>
    <w:rsid w:val="00CB62D3"/>
    <w:rsid w:val="00CB632E"/>
    <w:rsid w:val="00CB71C5"/>
    <w:rsid w:val="00CB7283"/>
    <w:rsid w:val="00CB7EF9"/>
    <w:rsid w:val="00CC0314"/>
    <w:rsid w:val="00CC07A1"/>
    <w:rsid w:val="00CC098D"/>
    <w:rsid w:val="00CC0CCE"/>
    <w:rsid w:val="00CC0EF0"/>
    <w:rsid w:val="00CC12B0"/>
    <w:rsid w:val="00CC130D"/>
    <w:rsid w:val="00CC1372"/>
    <w:rsid w:val="00CC16B0"/>
    <w:rsid w:val="00CC199B"/>
    <w:rsid w:val="00CC1ACA"/>
    <w:rsid w:val="00CC21E8"/>
    <w:rsid w:val="00CC2404"/>
    <w:rsid w:val="00CC2DF5"/>
    <w:rsid w:val="00CC30EC"/>
    <w:rsid w:val="00CC339A"/>
    <w:rsid w:val="00CC3517"/>
    <w:rsid w:val="00CC3EE5"/>
    <w:rsid w:val="00CC3F9D"/>
    <w:rsid w:val="00CC40E5"/>
    <w:rsid w:val="00CC4228"/>
    <w:rsid w:val="00CC4BE5"/>
    <w:rsid w:val="00CC501B"/>
    <w:rsid w:val="00CC6650"/>
    <w:rsid w:val="00CC6E47"/>
    <w:rsid w:val="00CC7EB3"/>
    <w:rsid w:val="00CD0FDD"/>
    <w:rsid w:val="00CD1346"/>
    <w:rsid w:val="00CD1488"/>
    <w:rsid w:val="00CD200C"/>
    <w:rsid w:val="00CD2016"/>
    <w:rsid w:val="00CD2C28"/>
    <w:rsid w:val="00CD39CB"/>
    <w:rsid w:val="00CD3BDB"/>
    <w:rsid w:val="00CD4066"/>
    <w:rsid w:val="00CD462B"/>
    <w:rsid w:val="00CD4841"/>
    <w:rsid w:val="00CD4AA5"/>
    <w:rsid w:val="00CD5C06"/>
    <w:rsid w:val="00CD5D29"/>
    <w:rsid w:val="00CD5D7B"/>
    <w:rsid w:val="00CD5E5C"/>
    <w:rsid w:val="00CD6F5C"/>
    <w:rsid w:val="00CD7087"/>
    <w:rsid w:val="00CD7097"/>
    <w:rsid w:val="00CE09DB"/>
    <w:rsid w:val="00CE0B55"/>
    <w:rsid w:val="00CE0C0D"/>
    <w:rsid w:val="00CE0C2C"/>
    <w:rsid w:val="00CE1364"/>
    <w:rsid w:val="00CE137E"/>
    <w:rsid w:val="00CE1493"/>
    <w:rsid w:val="00CE208D"/>
    <w:rsid w:val="00CE229C"/>
    <w:rsid w:val="00CE2707"/>
    <w:rsid w:val="00CE393B"/>
    <w:rsid w:val="00CE39C7"/>
    <w:rsid w:val="00CE39DB"/>
    <w:rsid w:val="00CE3EA0"/>
    <w:rsid w:val="00CE425C"/>
    <w:rsid w:val="00CE4A91"/>
    <w:rsid w:val="00CE4BB9"/>
    <w:rsid w:val="00CE4E3D"/>
    <w:rsid w:val="00CE5044"/>
    <w:rsid w:val="00CE5364"/>
    <w:rsid w:val="00CE57AF"/>
    <w:rsid w:val="00CE58AC"/>
    <w:rsid w:val="00CE6377"/>
    <w:rsid w:val="00CE6382"/>
    <w:rsid w:val="00CE6523"/>
    <w:rsid w:val="00CE78CB"/>
    <w:rsid w:val="00CF0840"/>
    <w:rsid w:val="00CF0C2D"/>
    <w:rsid w:val="00CF13CA"/>
    <w:rsid w:val="00CF1FD3"/>
    <w:rsid w:val="00CF2344"/>
    <w:rsid w:val="00CF2718"/>
    <w:rsid w:val="00CF2A8E"/>
    <w:rsid w:val="00CF31B5"/>
    <w:rsid w:val="00CF340B"/>
    <w:rsid w:val="00CF349C"/>
    <w:rsid w:val="00CF34A4"/>
    <w:rsid w:val="00CF3D44"/>
    <w:rsid w:val="00CF4227"/>
    <w:rsid w:val="00CF499A"/>
    <w:rsid w:val="00CF4CF6"/>
    <w:rsid w:val="00CF5678"/>
    <w:rsid w:val="00CF5A80"/>
    <w:rsid w:val="00CF60B8"/>
    <w:rsid w:val="00CF6F04"/>
    <w:rsid w:val="00CF70F6"/>
    <w:rsid w:val="00D00231"/>
    <w:rsid w:val="00D00240"/>
    <w:rsid w:val="00D00707"/>
    <w:rsid w:val="00D0092E"/>
    <w:rsid w:val="00D00975"/>
    <w:rsid w:val="00D00BD8"/>
    <w:rsid w:val="00D014D0"/>
    <w:rsid w:val="00D01555"/>
    <w:rsid w:val="00D02060"/>
    <w:rsid w:val="00D030D8"/>
    <w:rsid w:val="00D03389"/>
    <w:rsid w:val="00D03501"/>
    <w:rsid w:val="00D038BF"/>
    <w:rsid w:val="00D03976"/>
    <w:rsid w:val="00D03C79"/>
    <w:rsid w:val="00D045EE"/>
    <w:rsid w:val="00D05091"/>
    <w:rsid w:val="00D054B9"/>
    <w:rsid w:val="00D0567A"/>
    <w:rsid w:val="00D05A19"/>
    <w:rsid w:val="00D06316"/>
    <w:rsid w:val="00D06A12"/>
    <w:rsid w:val="00D0790A"/>
    <w:rsid w:val="00D10921"/>
    <w:rsid w:val="00D10967"/>
    <w:rsid w:val="00D1097C"/>
    <w:rsid w:val="00D10A65"/>
    <w:rsid w:val="00D10CA6"/>
    <w:rsid w:val="00D10EA2"/>
    <w:rsid w:val="00D10F21"/>
    <w:rsid w:val="00D1111D"/>
    <w:rsid w:val="00D117B4"/>
    <w:rsid w:val="00D11C56"/>
    <w:rsid w:val="00D1237D"/>
    <w:rsid w:val="00D12769"/>
    <w:rsid w:val="00D1290F"/>
    <w:rsid w:val="00D12A3C"/>
    <w:rsid w:val="00D131ED"/>
    <w:rsid w:val="00D13442"/>
    <w:rsid w:val="00D134CF"/>
    <w:rsid w:val="00D1380E"/>
    <w:rsid w:val="00D13830"/>
    <w:rsid w:val="00D1385D"/>
    <w:rsid w:val="00D138F5"/>
    <w:rsid w:val="00D140CD"/>
    <w:rsid w:val="00D14277"/>
    <w:rsid w:val="00D14434"/>
    <w:rsid w:val="00D14504"/>
    <w:rsid w:val="00D145B7"/>
    <w:rsid w:val="00D14846"/>
    <w:rsid w:val="00D14AE2"/>
    <w:rsid w:val="00D15259"/>
    <w:rsid w:val="00D1573B"/>
    <w:rsid w:val="00D1642D"/>
    <w:rsid w:val="00D16DE2"/>
    <w:rsid w:val="00D17129"/>
    <w:rsid w:val="00D17449"/>
    <w:rsid w:val="00D1757B"/>
    <w:rsid w:val="00D17B3E"/>
    <w:rsid w:val="00D17E18"/>
    <w:rsid w:val="00D20360"/>
    <w:rsid w:val="00D208E0"/>
    <w:rsid w:val="00D20ADA"/>
    <w:rsid w:val="00D20CFB"/>
    <w:rsid w:val="00D20D77"/>
    <w:rsid w:val="00D2104B"/>
    <w:rsid w:val="00D21392"/>
    <w:rsid w:val="00D21551"/>
    <w:rsid w:val="00D216CB"/>
    <w:rsid w:val="00D222E6"/>
    <w:rsid w:val="00D2328D"/>
    <w:rsid w:val="00D23AD1"/>
    <w:rsid w:val="00D23EE2"/>
    <w:rsid w:val="00D24806"/>
    <w:rsid w:val="00D24E49"/>
    <w:rsid w:val="00D2521B"/>
    <w:rsid w:val="00D25414"/>
    <w:rsid w:val="00D254F6"/>
    <w:rsid w:val="00D25613"/>
    <w:rsid w:val="00D259F5"/>
    <w:rsid w:val="00D25BA1"/>
    <w:rsid w:val="00D260C6"/>
    <w:rsid w:val="00D263E6"/>
    <w:rsid w:val="00D26713"/>
    <w:rsid w:val="00D271BC"/>
    <w:rsid w:val="00D27375"/>
    <w:rsid w:val="00D27950"/>
    <w:rsid w:val="00D312F6"/>
    <w:rsid w:val="00D31742"/>
    <w:rsid w:val="00D31CE8"/>
    <w:rsid w:val="00D32596"/>
    <w:rsid w:val="00D327D3"/>
    <w:rsid w:val="00D32CE0"/>
    <w:rsid w:val="00D334FF"/>
    <w:rsid w:val="00D336FF"/>
    <w:rsid w:val="00D339E3"/>
    <w:rsid w:val="00D33D55"/>
    <w:rsid w:val="00D34040"/>
    <w:rsid w:val="00D34B02"/>
    <w:rsid w:val="00D34E69"/>
    <w:rsid w:val="00D3538F"/>
    <w:rsid w:val="00D35791"/>
    <w:rsid w:val="00D35C73"/>
    <w:rsid w:val="00D35DA5"/>
    <w:rsid w:val="00D36AF0"/>
    <w:rsid w:val="00D36C78"/>
    <w:rsid w:val="00D36F06"/>
    <w:rsid w:val="00D371F1"/>
    <w:rsid w:val="00D37264"/>
    <w:rsid w:val="00D37297"/>
    <w:rsid w:val="00D3747D"/>
    <w:rsid w:val="00D375EE"/>
    <w:rsid w:val="00D377FC"/>
    <w:rsid w:val="00D37EBB"/>
    <w:rsid w:val="00D401E8"/>
    <w:rsid w:val="00D402F5"/>
    <w:rsid w:val="00D408A3"/>
    <w:rsid w:val="00D40C13"/>
    <w:rsid w:val="00D41175"/>
    <w:rsid w:val="00D4137F"/>
    <w:rsid w:val="00D423BF"/>
    <w:rsid w:val="00D42439"/>
    <w:rsid w:val="00D426D2"/>
    <w:rsid w:val="00D4280A"/>
    <w:rsid w:val="00D429EF"/>
    <w:rsid w:val="00D42A7D"/>
    <w:rsid w:val="00D455F6"/>
    <w:rsid w:val="00D459C9"/>
    <w:rsid w:val="00D46FF7"/>
    <w:rsid w:val="00D47369"/>
    <w:rsid w:val="00D474F8"/>
    <w:rsid w:val="00D476FB"/>
    <w:rsid w:val="00D5012D"/>
    <w:rsid w:val="00D5069D"/>
    <w:rsid w:val="00D5141B"/>
    <w:rsid w:val="00D52CA8"/>
    <w:rsid w:val="00D5341E"/>
    <w:rsid w:val="00D53544"/>
    <w:rsid w:val="00D53765"/>
    <w:rsid w:val="00D53C6C"/>
    <w:rsid w:val="00D5421F"/>
    <w:rsid w:val="00D546DB"/>
    <w:rsid w:val="00D54C2E"/>
    <w:rsid w:val="00D54E33"/>
    <w:rsid w:val="00D5580F"/>
    <w:rsid w:val="00D55AE8"/>
    <w:rsid w:val="00D55CA7"/>
    <w:rsid w:val="00D56056"/>
    <w:rsid w:val="00D568BE"/>
    <w:rsid w:val="00D56CF7"/>
    <w:rsid w:val="00D570A9"/>
    <w:rsid w:val="00D571D8"/>
    <w:rsid w:val="00D57287"/>
    <w:rsid w:val="00D57B32"/>
    <w:rsid w:val="00D57C22"/>
    <w:rsid w:val="00D57DD2"/>
    <w:rsid w:val="00D607C5"/>
    <w:rsid w:val="00D6085F"/>
    <w:rsid w:val="00D60A22"/>
    <w:rsid w:val="00D61052"/>
    <w:rsid w:val="00D613F9"/>
    <w:rsid w:val="00D617B1"/>
    <w:rsid w:val="00D61C58"/>
    <w:rsid w:val="00D61E7B"/>
    <w:rsid w:val="00D62699"/>
    <w:rsid w:val="00D626E9"/>
    <w:rsid w:val="00D62FAC"/>
    <w:rsid w:val="00D6303B"/>
    <w:rsid w:val="00D635BE"/>
    <w:rsid w:val="00D63CAF"/>
    <w:rsid w:val="00D6433C"/>
    <w:rsid w:val="00D644D8"/>
    <w:rsid w:val="00D64ACC"/>
    <w:rsid w:val="00D6525B"/>
    <w:rsid w:val="00D66018"/>
    <w:rsid w:val="00D6646B"/>
    <w:rsid w:val="00D66D00"/>
    <w:rsid w:val="00D6720B"/>
    <w:rsid w:val="00D673E1"/>
    <w:rsid w:val="00D6792D"/>
    <w:rsid w:val="00D67B7D"/>
    <w:rsid w:val="00D709D5"/>
    <w:rsid w:val="00D7120C"/>
    <w:rsid w:val="00D715F9"/>
    <w:rsid w:val="00D7194F"/>
    <w:rsid w:val="00D72174"/>
    <w:rsid w:val="00D72977"/>
    <w:rsid w:val="00D72B4F"/>
    <w:rsid w:val="00D732B3"/>
    <w:rsid w:val="00D7343E"/>
    <w:rsid w:val="00D73728"/>
    <w:rsid w:val="00D737ED"/>
    <w:rsid w:val="00D73BB5"/>
    <w:rsid w:val="00D73E18"/>
    <w:rsid w:val="00D74A0F"/>
    <w:rsid w:val="00D74A84"/>
    <w:rsid w:val="00D74B8D"/>
    <w:rsid w:val="00D7504E"/>
    <w:rsid w:val="00D75D14"/>
    <w:rsid w:val="00D761A5"/>
    <w:rsid w:val="00D761B8"/>
    <w:rsid w:val="00D76421"/>
    <w:rsid w:val="00D76455"/>
    <w:rsid w:val="00D76B40"/>
    <w:rsid w:val="00D77431"/>
    <w:rsid w:val="00D778E9"/>
    <w:rsid w:val="00D7797A"/>
    <w:rsid w:val="00D77F7A"/>
    <w:rsid w:val="00D8029B"/>
    <w:rsid w:val="00D806F2"/>
    <w:rsid w:val="00D80D15"/>
    <w:rsid w:val="00D80EEA"/>
    <w:rsid w:val="00D812BF"/>
    <w:rsid w:val="00D820F5"/>
    <w:rsid w:val="00D82620"/>
    <w:rsid w:val="00D82F64"/>
    <w:rsid w:val="00D837D1"/>
    <w:rsid w:val="00D840CA"/>
    <w:rsid w:val="00D841DA"/>
    <w:rsid w:val="00D848FD"/>
    <w:rsid w:val="00D84CC6"/>
    <w:rsid w:val="00D84F79"/>
    <w:rsid w:val="00D8553A"/>
    <w:rsid w:val="00D85707"/>
    <w:rsid w:val="00D85944"/>
    <w:rsid w:val="00D85CF1"/>
    <w:rsid w:val="00D86B7B"/>
    <w:rsid w:val="00D8747E"/>
    <w:rsid w:val="00D878D7"/>
    <w:rsid w:val="00D903E8"/>
    <w:rsid w:val="00D904C9"/>
    <w:rsid w:val="00D907E5"/>
    <w:rsid w:val="00D922D7"/>
    <w:rsid w:val="00D92FFF"/>
    <w:rsid w:val="00D93296"/>
    <w:rsid w:val="00D93ABC"/>
    <w:rsid w:val="00D93CBB"/>
    <w:rsid w:val="00D9501E"/>
    <w:rsid w:val="00D9537E"/>
    <w:rsid w:val="00D95741"/>
    <w:rsid w:val="00D95C02"/>
    <w:rsid w:val="00D96244"/>
    <w:rsid w:val="00D96AF5"/>
    <w:rsid w:val="00D96B81"/>
    <w:rsid w:val="00D96D12"/>
    <w:rsid w:val="00D971D2"/>
    <w:rsid w:val="00D9725F"/>
    <w:rsid w:val="00D979DD"/>
    <w:rsid w:val="00DA01B1"/>
    <w:rsid w:val="00DA03BF"/>
    <w:rsid w:val="00DA03DC"/>
    <w:rsid w:val="00DA0DAD"/>
    <w:rsid w:val="00DA0F6D"/>
    <w:rsid w:val="00DA10D8"/>
    <w:rsid w:val="00DA11A2"/>
    <w:rsid w:val="00DA14ED"/>
    <w:rsid w:val="00DA1BB9"/>
    <w:rsid w:val="00DA1E29"/>
    <w:rsid w:val="00DA1FC0"/>
    <w:rsid w:val="00DA20C1"/>
    <w:rsid w:val="00DA2124"/>
    <w:rsid w:val="00DA2323"/>
    <w:rsid w:val="00DA24B4"/>
    <w:rsid w:val="00DA26D6"/>
    <w:rsid w:val="00DA3A13"/>
    <w:rsid w:val="00DA466B"/>
    <w:rsid w:val="00DA4CD5"/>
    <w:rsid w:val="00DA4ECF"/>
    <w:rsid w:val="00DA5099"/>
    <w:rsid w:val="00DA5486"/>
    <w:rsid w:val="00DA6B28"/>
    <w:rsid w:val="00DA6BD4"/>
    <w:rsid w:val="00DA7494"/>
    <w:rsid w:val="00DB115D"/>
    <w:rsid w:val="00DB20F9"/>
    <w:rsid w:val="00DB29C7"/>
    <w:rsid w:val="00DB2EF1"/>
    <w:rsid w:val="00DB3173"/>
    <w:rsid w:val="00DB3C35"/>
    <w:rsid w:val="00DB3DE1"/>
    <w:rsid w:val="00DB4079"/>
    <w:rsid w:val="00DB458E"/>
    <w:rsid w:val="00DB4C48"/>
    <w:rsid w:val="00DB4FED"/>
    <w:rsid w:val="00DB5258"/>
    <w:rsid w:val="00DB5DA0"/>
    <w:rsid w:val="00DB6012"/>
    <w:rsid w:val="00DB6351"/>
    <w:rsid w:val="00DB63D4"/>
    <w:rsid w:val="00DB716C"/>
    <w:rsid w:val="00DC00DD"/>
    <w:rsid w:val="00DC0CD6"/>
    <w:rsid w:val="00DC10C0"/>
    <w:rsid w:val="00DC12C3"/>
    <w:rsid w:val="00DC1BCF"/>
    <w:rsid w:val="00DC2934"/>
    <w:rsid w:val="00DC2C0B"/>
    <w:rsid w:val="00DC2E82"/>
    <w:rsid w:val="00DC3621"/>
    <w:rsid w:val="00DC3883"/>
    <w:rsid w:val="00DC3DC9"/>
    <w:rsid w:val="00DC3FE2"/>
    <w:rsid w:val="00DC4100"/>
    <w:rsid w:val="00DC4B07"/>
    <w:rsid w:val="00DC4DDA"/>
    <w:rsid w:val="00DC568F"/>
    <w:rsid w:val="00DC5A30"/>
    <w:rsid w:val="00DC5C85"/>
    <w:rsid w:val="00DC6B3B"/>
    <w:rsid w:val="00DC713B"/>
    <w:rsid w:val="00DC7418"/>
    <w:rsid w:val="00DC781A"/>
    <w:rsid w:val="00DC7C5D"/>
    <w:rsid w:val="00DD0871"/>
    <w:rsid w:val="00DD0AD0"/>
    <w:rsid w:val="00DD0CB2"/>
    <w:rsid w:val="00DD10F1"/>
    <w:rsid w:val="00DD128C"/>
    <w:rsid w:val="00DD134D"/>
    <w:rsid w:val="00DD18C5"/>
    <w:rsid w:val="00DD2219"/>
    <w:rsid w:val="00DD2A0B"/>
    <w:rsid w:val="00DD2E6C"/>
    <w:rsid w:val="00DD30C3"/>
    <w:rsid w:val="00DD3240"/>
    <w:rsid w:val="00DD3C68"/>
    <w:rsid w:val="00DD4236"/>
    <w:rsid w:val="00DD43D8"/>
    <w:rsid w:val="00DD44F1"/>
    <w:rsid w:val="00DD4731"/>
    <w:rsid w:val="00DD47A1"/>
    <w:rsid w:val="00DD48B5"/>
    <w:rsid w:val="00DD4CA2"/>
    <w:rsid w:val="00DD4E20"/>
    <w:rsid w:val="00DD4E74"/>
    <w:rsid w:val="00DD539D"/>
    <w:rsid w:val="00DD5472"/>
    <w:rsid w:val="00DD5A4B"/>
    <w:rsid w:val="00DD5B32"/>
    <w:rsid w:val="00DD5B37"/>
    <w:rsid w:val="00DD5DB8"/>
    <w:rsid w:val="00DD6414"/>
    <w:rsid w:val="00DD6473"/>
    <w:rsid w:val="00DD6957"/>
    <w:rsid w:val="00DD69C2"/>
    <w:rsid w:val="00DD6E7A"/>
    <w:rsid w:val="00DD7408"/>
    <w:rsid w:val="00DD7719"/>
    <w:rsid w:val="00DD7C19"/>
    <w:rsid w:val="00DD7F52"/>
    <w:rsid w:val="00DE1044"/>
    <w:rsid w:val="00DE187F"/>
    <w:rsid w:val="00DE29E0"/>
    <w:rsid w:val="00DE3067"/>
    <w:rsid w:val="00DE3C7C"/>
    <w:rsid w:val="00DE417A"/>
    <w:rsid w:val="00DE421A"/>
    <w:rsid w:val="00DE4D7C"/>
    <w:rsid w:val="00DE4DD8"/>
    <w:rsid w:val="00DE59F0"/>
    <w:rsid w:val="00DE6349"/>
    <w:rsid w:val="00DE65DB"/>
    <w:rsid w:val="00DE71B5"/>
    <w:rsid w:val="00DE76B5"/>
    <w:rsid w:val="00DE77BD"/>
    <w:rsid w:val="00DF0D94"/>
    <w:rsid w:val="00DF1099"/>
    <w:rsid w:val="00DF1154"/>
    <w:rsid w:val="00DF11E4"/>
    <w:rsid w:val="00DF1308"/>
    <w:rsid w:val="00DF17BD"/>
    <w:rsid w:val="00DF2162"/>
    <w:rsid w:val="00DF2976"/>
    <w:rsid w:val="00DF29F4"/>
    <w:rsid w:val="00DF2D24"/>
    <w:rsid w:val="00DF3127"/>
    <w:rsid w:val="00DF3AEC"/>
    <w:rsid w:val="00DF3B7E"/>
    <w:rsid w:val="00DF3EEE"/>
    <w:rsid w:val="00DF4877"/>
    <w:rsid w:val="00DF526F"/>
    <w:rsid w:val="00DF574E"/>
    <w:rsid w:val="00DF5A2B"/>
    <w:rsid w:val="00DF6283"/>
    <w:rsid w:val="00DF75E1"/>
    <w:rsid w:val="00DF78A3"/>
    <w:rsid w:val="00E019C1"/>
    <w:rsid w:val="00E01A4C"/>
    <w:rsid w:val="00E027BC"/>
    <w:rsid w:val="00E0286F"/>
    <w:rsid w:val="00E02B2C"/>
    <w:rsid w:val="00E03145"/>
    <w:rsid w:val="00E03453"/>
    <w:rsid w:val="00E03491"/>
    <w:rsid w:val="00E0382A"/>
    <w:rsid w:val="00E041F4"/>
    <w:rsid w:val="00E045BE"/>
    <w:rsid w:val="00E0645D"/>
    <w:rsid w:val="00E0651E"/>
    <w:rsid w:val="00E06BF0"/>
    <w:rsid w:val="00E06E52"/>
    <w:rsid w:val="00E07278"/>
    <w:rsid w:val="00E0753F"/>
    <w:rsid w:val="00E077A0"/>
    <w:rsid w:val="00E10518"/>
    <w:rsid w:val="00E10664"/>
    <w:rsid w:val="00E106E9"/>
    <w:rsid w:val="00E10DEF"/>
    <w:rsid w:val="00E10F0D"/>
    <w:rsid w:val="00E11E55"/>
    <w:rsid w:val="00E11EE0"/>
    <w:rsid w:val="00E12402"/>
    <w:rsid w:val="00E12DA2"/>
    <w:rsid w:val="00E13065"/>
    <w:rsid w:val="00E13C1C"/>
    <w:rsid w:val="00E13CD8"/>
    <w:rsid w:val="00E13F46"/>
    <w:rsid w:val="00E14EA5"/>
    <w:rsid w:val="00E1502D"/>
    <w:rsid w:val="00E153C2"/>
    <w:rsid w:val="00E1675C"/>
    <w:rsid w:val="00E16FFA"/>
    <w:rsid w:val="00E17062"/>
    <w:rsid w:val="00E17083"/>
    <w:rsid w:val="00E17458"/>
    <w:rsid w:val="00E177F8"/>
    <w:rsid w:val="00E1782F"/>
    <w:rsid w:val="00E2070E"/>
    <w:rsid w:val="00E20967"/>
    <w:rsid w:val="00E20D68"/>
    <w:rsid w:val="00E20E20"/>
    <w:rsid w:val="00E20EDF"/>
    <w:rsid w:val="00E21133"/>
    <w:rsid w:val="00E21A38"/>
    <w:rsid w:val="00E2327E"/>
    <w:rsid w:val="00E23577"/>
    <w:rsid w:val="00E23589"/>
    <w:rsid w:val="00E23841"/>
    <w:rsid w:val="00E23976"/>
    <w:rsid w:val="00E23B67"/>
    <w:rsid w:val="00E24EA1"/>
    <w:rsid w:val="00E251E1"/>
    <w:rsid w:val="00E2541D"/>
    <w:rsid w:val="00E254BB"/>
    <w:rsid w:val="00E257AC"/>
    <w:rsid w:val="00E25FAB"/>
    <w:rsid w:val="00E261B9"/>
    <w:rsid w:val="00E26336"/>
    <w:rsid w:val="00E266EF"/>
    <w:rsid w:val="00E27593"/>
    <w:rsid w:val="00E27DAB"/>
    <w:rsid w:val="00E30968"/>
    <w:rsid w:val="00E31C03"/>
    <w:rsid w:val="00E3242B"/>
    <w:rsid w:val="00E326A8"/>
    <w:rsid w:val="00E327D1"/>
    <w:rsid w:val="00E32E33"/>
    <w:rsid w:val="00E3312F"/>
    <w:rsid w:val="00E33D61"/>
    <w:rsid w:val="00E34824"/>
    <w:rsid w:val="00E34ABE"/>
    <w:rsid w:val="00E356FD"/>
    <w:rsid w:val="00E35A91"/>
    <w:rsid w:val="00E35BE5"/>
    <w:rsid w:val="00E3605B"/>
    <w:rsid w:val="00E360AB"/>
    <w:rsid w:val="00E36214"/>
    <w:rsid w:val="00E36A8D"/>
    <w:rsid w:val="00E36B4C"/>
    <w:rsid w:val="00E374B0"/>
    <w:rsid w:val="00E40C0C"/>
    <w:rsid w:val="00E40C6F"/>
    <w:rsid w:val="00E41080"/>
    <w:rsid w:val="00E41878"/>
    <w:rsid w:val="00E41C41"/>
    <w:rsid w:val="00E41E1B"/>
    <w:rsid w:val="00E4236E"/>
    <w:rsid w:val="00E427E2"/>
    <w:rsid w:val="00E427F9"/>
    <w:rsid w:val="00E43B4C"/>
    <w:rsid w:val="00E43E9E"/>
    <w:rsid w:val="00E4425D"/>
    <w:rsid w:val="00E44754"/>
    <w:rsid w:val="00E44B2A"/>
    <w:rsid w:val="00E45444"/>
    <w:rsid w:val="00E4610E"/>
    <w:rsid w:val="00E46666"/>
    <w:rsid w:val="00E46BA8"/>
    <w:rsid w:val="00E46FDD"/>
    <w:rsid w:val="00E47256"/>
    <w:rsid w:val="00E47428"/>
    <w:rsid w:val="00E478B9"/>
    <w:rsid w:val="00E5045D"/>
    <w:rsid w:val="00E505CE"/>
    <w:rsid w:val="00E50709"/>
    <w:rsid w:val="00E50AA8"/>
    <w:rsid w:val="00E513D2"/>
    <w:rsid w:val="00E5207F"/>
    <w:rsid w:val="00E52081"/>
    <w:rsid w:val="00E52CF1"/>
    <w:rsid w:val="00E52CF8"/>
    <w:rsid w:val="00E52E93"/>
    <w:rsid w:val="00E52FB3"/>
    <w:rsid w:val="00E53266"/>
    <w:rsid w:val="00E535DC"/>
    <w:rsid w:val="00E5361F"/>
    <w:rsid w:val="00E539D0"/>
    <w:rsid w:val="00E53F4E"/>
    <w:rsid w:val="00E5412B"/>
    <w:rsid w:val="00E54826"/>
    <w:rsid w:val="00E54BE7"/>
    <w:rsid w:val="00E5515E"/>
    <w:rsid w:val="00E557F1"/>
    <w:rsid w:val="00E56908"/>
    <w:rsid w:val="00E56C8E"/>
    <w:rsid w:val="00E5716B"/>
    <w:rsid w:val="00E57327"/>
    <w:rsid w:val="00E57568"/>
    <w:rsid w:val="00E577C5"/>
    <w:rsid w:val="00E57C5E"/>
    <w:rsid w:val="00E57F1F"/>
    <w:rsid w:val="00E602F9"/>
    <w:rsid w:val="00E60F8C"/>
    <w:rsid w:val="00E61C9E"/>
    <w:rsid w:val="00E61DCE"/>
    <w:rsid w:val="00E62134"/>
    <w:rsid w:val="00E621CF"/>
    <w:rsid w:val="00E6260A"/>
    <w:rsid w:val="00E626F1"/>
    <w:rsid w:val="00E62C56"/>
    <w:rsid w:val="00E62D0E"/>
    <w:rsid w:val="00E6365A"/>
    <w:rsid w:val="00E63DFF"/>
    <w:rsid w:val="00E64601"/>
    <w:rsid w:val="00E650C1"/>
    <w:rsid w:val="00E653B2"/>
    <w:rsid w:val="00E65D62"/>
    <w:rsid w:val="00E65F72"/>
    <w:rsid w:val="00E66B9F"/>
    <w:rsid w:val="00E67621"/>
    <w:rsid w:val="00E67805"/>
    <w:rsid w:val="00E679C3"/>
    <w:rsid w:val="00E70A6A"/>
    <w:rsid w:val="00E70B90"/>
    <w:rsid w:val="00E70C8A"/>
    <w:rsid w:val="00E710D6"/>
    <w:rsid w:val="00E71435"/>
    <w:rsid w:val="00E718D4"/>
    <w:rsid w:val="00E71DF3"/>
    <w:rsid w:val="00E72ACA"/>
    <w:rsid w:val="00E732FD"/>
    <w:rsid w:val="00E73353"/>
    <w:rsid w:val="00E73DA4"/>
    <w:rsid w:val="00E743ED"/>
    <w:rsid w:val="00E74C7B"/>
    <w:rsid w:val="00E754AA"/>
    <w:rsid w:val="00E75AF7"/>
    <w:rsid w:val="00E75DB9"/>
    <w:rsid w:val="00E76072"/>
    <w:rsid w:val="00E769CB"/>
    <w:rsid w:val="00E76E45"/>
    <w:rsid w:val="00E76FE2"/>
    <w:rsid w:val="00E771AA"/>
    <w:rsid w:val="00E771FC"/>
    <w:rsid w:val="00E77422"/>
    <w:rsid w:val="00E777C9"/>
    <w:rsid w:val="00E77EAF"/>
    <w:rsid w:val="00E77F0D"/>
    <w:rsid w:val="00E80272"/>
    <w:rsid w:val="00E807EC"/>
    <w:rsid w:val="00E808EF"/>
    <w:rsid w:val="00E80CC5"/>
    <w:rsid w:val="00E81CDC"/>
    <w:rsid w:val="00E81DA6"/>
    <w:rsid w:val="00E82AB8"/>
    <w:rsid w:val="00E82D0B"/>
    <w:rsid w:val="00E837AC"/>
    <w:rsid w:val="00E837F0"/>
    <w:rsid w:val="00E83C90"/>
    <w:rsid w:val="00E84212"/>
    <w:rsid w:val="00E842D2"/>
    <w:rsid w:val="00E84770"/>
    <w:rsid w:val="00E84B4F"/>
    <w:rsid w:val="00E84D23"/>
    <w:rsid w:val="00E850C1"/>
    <w:rsid w:val="00E85356"/>
    <w:rsid w:val="00E85B20"/>
    <w:rsid w:val="00E85BE8"/>
    <w:rsid w:val="00E85F2F"/>
    <w:rsid w:val="00E8624A"/>
    <w:rsid w:val="00E8656B"/>
    <w:rsid w:val="00E86956"/>
    <w:rsid w:val="00E86B16"/>
    <w:rsid w:val="00E87643"/>
    <w:rsid w:val="00E90054"/>
    <w:rsid w:val="00E9086C"/>
    <w:rsid w:val="00E90AAA"/>
    <w:rsid w:val="00E91802"/>
    <w:rsid w:val="00E919F6"/>
    <w:rsid w:val="00E91A0F"/>
    <w:rsid w:val="00E93808"/>
    <w:rsid w:val="00E9452B"/>
    <w:rsid w:val="00E94A71"/>
    <w:rsid w:val="00E94B05"/>
    <w:rsid w:val="00E94CBF"/>
    <w:rsid w:val="00E94DE7"/>
    <w:rsid w:val="00E951E2"/>
    <w:rsid w:val="00E956E7"/>
    <w:rsid w:val="00E95AFA"/>
    <w:rsid w:val="00E95E4D"/>
    <w:rsid w:val="00E96838"/>
    <w:rsid w:val="00E96927"/>
    <w:rsid w:val="00E974D2"/>
    <w:rsid w:val="00E97881"/>
    <w:rsid w:val="00EA03CE"/>
    <w:rsid w:val="00EA0446"/>
    <w:rsid w:val="00EA0F6E"/>
    <w:rsid w:val="00EA14A1"/>
    <w:rsid w:val="00EA216B"/>
    <w:rsid w:val="00EA23E5"/>
    <w:rsid w:val="00EA2F7F"/>
    <w:rsid w:val="00EA3001"/>
    <w:rsid w:val="00EA360B"/>
    <w:rsid w:val="00EA3664"/>
    <w:rsid w:val="00EA405F"/>
    <w:rsid w:val="00EA4146"/>
    <w:rsid w:val="00EA43E5"/>
    <w:rsid w:val="00EA4476"/>
    <w:rsid w:val="00EA4E2E"/>
    <w:rsid w:val="00EA503E"/>
    <w:rsid w:val="00EA50B9"/>
    <w:rsid w:val="00EA52F2"/>
    <w:rsid w:val="00EA5AAF"/>
    <w:rsid w:val="00EA60CA"/>
    <w:rsid w:val="00EA6EBA"/>
    <w:rsid w:val="00EA712F"/>
    <w:rsid w:val="00EA7204"/>
    <w:rsid w:val="00EA7ACC"/>
    <w:rsid w:val="00EB024D"/>
    <w:rsid w:val="00EB03CE"/>
    <w:rsid w:val="00EB04D7"/>
    <w:rsid w:val="00EB08E4"/>
    <w:rsid w:val="00EB0B67"/>
    <w:rsid w:val="00EB0EA2"/>
    <w:rsid w:val="00EB127F"/>
    <w:rsid w:val="00EB1534"/>
    <w:rsid w:val="00EB157E"/>
    <w:rsid w:val="00EB165E"/>
    <w:rsid w:val="00EB222F"/>
    <w:rsid w:val="00EB233B"/>
    <w:rsid w:val="00EB240B"/>
    <w:rsid w:val="00EB2417"/>
    <w:rsid w:val="00EB2909"/>
    <w:rsid w:val="00EB2CCB"/>
    <w:rsid w:val="00EB30C3"/>
    <w:rsid w:val="00EB3182"/>
    <w:rsid w:val="00EB318B"/>
    <w:rsid w:val="00EB376A"/>
    <w:rsid w:val="00EB3B12"/>
    <w:rsid w:val="00EB3F87"/>
    <w:rsid w:val="00EB4347"/>
    <w:rsid w:val="00EB5169"/>
    <w:rsid w:val="00EB54D2"/>
    <w:rsid w:val="00EB5F01"/>
    <w:rsid w:val="00EB64F5"/>
    <w:rsid w:val="00EB6616"/>
    <w:rsid w:val="00EB69D6"/>
    <w:rsid w:val="00EB6C76"/>
    <w:rsid w:val="00EB6CDF"/>
    <w:rsid w:val="00EB79F8"/>
    <w:rsid w:val="00EB7A25"/>
    <w:rsid w:val="00EB7F85"/>
    <w:rsid w:val="00EC0F3E"/>
    <w:rsid w:val="00EC1567"/>
    <w:rsid w:val="00EC15BA"/>
    <w:rsid w:val="00EC249F"/>
    <w:rsid w:val="00EC2849"/>
    <w:rsid w:val="00EC3E26"/>
    <w:rsid w:val="00EC46B8"/>
    <w:rsid w:val="00EC49E6"/>
    <w:rsid w:val="00EC4ABF"/>
    <w:rsid w:val="00EC50B2"/>
    <w:rsid w:val="00EC514B"/>
    <w:rsid w:val="00EC51F2"/>
    <w:rsid w:val="00EC536C"/>
    <w:rsid w:val="00EC53D8"/>
    <w:rsid w:val="00EC57A7"/>
    <w:rsid w:val="00EC6323"/>
    <w:rsid w:val="00EC6585"/>
    <w:rsid w:val="00EC6807"/>
    <w:rsid w:val="00EC6C66"/>
    <w:rsid w:val="00EC6E4B"/>
    <w:rsid w:val="00EC7432"/>
    <w:rsid w:val="00EC7CBF"/>
    <w:rsid w:val="00EC7DB8"/>
    <w:rsid w:val="00ED0713"/>
    <w:rsid w:val="00ED0817"/>
    <w:rsid w:val="00ED087B"/>
    <w:rsid w:val="00ED0B18"/>
    <w:rsid w:val="00ED0B8E"/>
    <w:rsid w:val="00ED114D"/>
    <w:rsid w:val="00ED1158"/>
    <w:rsid w:val="00ED16A7"/>
    <w:rsid w:val="00ED1780"/>
    <w:rsid w:val="00ED1B0E"/>
    <w:rsid w:val="00ED2CF2"/>
    <w:rsid w:val="00ED2F0B"/>
    <w:rsid w:val="00ED2F2A"/>
    <w:rsid w:val="00ED2F39"/>
    <w:rsid w:val="00ED305B"/>
    <w:rsid w:val="00ED3296"/>
    <w:rsid w:val="00ED3693"/>
    <w:rsid w:val="00ED3A93"/>
    <w:rsid w:val="00ED4809"/>
    <w:rsid w:val="00ED4B3A"/>
    <w:rsid w:val="00ED5379"/>
    <w:rsid w:val="00ED548D"/>
    <w:rsid w:val="00ED592A"/>
    <w:rsid w:val="00ED5EC3"/>
    <w:rsid w:val="00ED67DC"/>
    <w:rsid w:val="00ED6AF2"/>
    <w:rsid w:val="00ED6BCA"/>
    <w:rsid w:val="00ED6EED"/>
    <w:rsid w:val="00ED70A9"/>
    <w:rsid w:val="00ED79D3"/>
    <w:rsid w:val="00ED7DD9"/>
    <w:rsid w:val="00EE0DA7"/>
    <w:rsid w:val="00EE0E7D"/>
    <w:rsid w:val="00EE0EF3"/>
    <w:rsid w:val="00EE1156"/>
    <w:rsid w:val="00EE135E"/>
    <w:rsid w:val="00EE1416"/>
    <w:rsid w:val="00EE282E"/>
    <w:rsid w:val="00EE2CE0"/>
    <w:rsid w:val="00EE344A"/>
    <w:rsid w:val="00EE39CF"/>
    <w:rsid w:val="00EE445B"/>
    <w:rsid w:val="00EE4798"/>
    <w:rsid w:val="00EE4B73"/>
    <w:rsid w:val="00EE4D08"/>
    <w:rsid w:val="00EE4E68"/>
    <w:rsid w:val="00EE5B60"/>
    <w:rsid w:val="00EE6096"/>
    <w:rsid w:val="00EE6E6C"/>
    <w:rsid w:val="00EE7541"/>
    <w:rsid w:val="00EE76E0"/>
    <w:rsid w:val="00EE78EE"/>
    <w:rsid w:val="00EE7C57"/>
    <w:rsid w:val="00EE7F62"/>
    <w:rsid w:val="00EF0F2D"/>
    <w:rsid w:val="00EF11F2"/>
    <w:rsid w:val="00EF183E"/>
    <w:rsid w:val="00EF1A2A"/>
    <w:rsid w:val="00EF1AD8"/>
    <w:rsid w:val="00EF1C40"/>
    <w:rsid w:val="00EF1EB9"/>
    <w:rsid w:val="00EF2976"/>
    <w:rsid w:val="00EF2BF4"/>
    <w:rsid w:val="00EF3113"/>
    <w:rsid w:val="00EF3C65"/>
    <w:rsid w:val="00EF3D2C"/>
    <w:rsid w:val="00EF3D9B"/>
    <w:rsid w:val="00EF3F84"/>
    <w:rsid w:val="00EF4BD3"/>
    <w:rsid w:val="00EF598B"/>
    <w:rsid w:val="00EF5B7B"/>
    <w:rsid w:val="00EF65F1"/>
    <w:rsid w:val="00EF6B61"/>
    <w:rsid w:val="00EF6E2E"/>
    <w:rsid w:val="00EF72C1"/>
    <w:rsid w:val="00EF75D3"/>
    <w:rsid w:val="00EF7986"/>
    <w:rsid w:val="00F0056F"/>
    <w:rsid w:val="00F00AF5"/>
    <w:rsid w:val="00F00DE5"/>
    <w:rsid w:val="00F00E14"/>
    <w:rsid w:val="00F01665"/>
    <w:rsid w:val="00F01747"/>
    <w:rsid w:val="00F03657"/>
    <w:rsid w:val="00F03C30"/>
    <w:rsid w:val="00F03FCC"/>
    <w:rsid w:val="00F04C3E"/>
    <w:rsid w:val="00F0598D"/>
    <w:rsid w:val="00F0689B"/>
    <w:rsid w:val="00F06FC4"/>
    <w:rsid w:val="00F070B9"/>
    <w:rsid w:val="00F07A00"/>
    <w:rsid w:val="00F07D1D"/>
    <w:rsid w:val="00F100B6"/>
    <w:rsid w:val="00F101CE"/>
    <w:rsid w:val="00F10643"/>
    <w:rsid w:val="00F1075A"/>
    <w:rsid w:val="00F10F4D"/>
    <w:rsid w:val="00F11070"/>
    <w:rsid w:val="00F11162"/>
    <w:rsid w:val="00F116CA"/>
    <w:rsid w:val="00F11FFD"/>
    <w:rsid w:val="00F12B3F"/>
    <w:rsid w:val="00F12DE9"/>
    <w:rsid w:val="00F13284"/>
    <w:rsid w:val="00F1368F"/>
    <w:rsid w:val="00F139F2"/>
    <w:rsid w:val="00F145F6"/>
    <w:rsid w:val="00F14910"/>
    <w:rsid w:val="00F15783"/>
    <w:rsid w:val="00F157AD"/>
    <w:rsid w:val="00F15FDC"/>
    <w:rsid w:val="00F16723"/>
    <w:rsid w:val="00F172FE"/>
    <w:rsid w:val="00F176AC"/>
    <w:rsid w:val="00F1772B"/>
    <w:rsid w:val="00F17930"/>
    <w:rsid w:val="00F17EC1"/>
    <w:rsid w:val="00F209B9"/>
    <w:rsid w:val="00F210BA"/>
    <w:rsid w:val="00F21C4B"/>
    <w:rsid w:val="00F21D5F"/>
    <w:rsid w:val="00F22251"/>
    <w:rsid w:val="00F2272A"/>
    <w:rsid w:val="00F22D9D"/>
    <w:rsid w:val="00F235E7"/>
    <w:rsid w:val="00F236C6"/>
    <w:rsid w:val="00F2377C"/>
    <w:rsid w:val="00F237F3"/>
    <w:rsid w:val="00F24C7E"/>
    <w:rsid w:val="00F25068"/>
    <w:rsid w:val="00F25665"/>
    <w:rsid w:val="00F25747"/>
    <w:rsid w:val="00F25CD8"/>
    <w:rsid w:val="00F26648"/>
    <w:rsid w:val="00F26F28"/>
    <w:rsid w:val="00F27094"/>
    <w:rsid w:val="00F2711C"/>
    <w:rsid w:val="00F2724A"/>
    <w:rsid w:val="00F27442"/>
    <w:rsid w:val="00F274F8"/>
    <w:rsid w:val="00F275A1"/>
    <w:rsid w:val="00F27714"/>
    <w:rsid w:val="00F27731"/>
    <w:rsid w:val="00F279F3"/>
    <w:rsid w:val="00F30368"/>
    <w:rsid w:val="00F30891"/>
    <w:rsid w:val="00F3099D"/>
    <w:rsid w:val="00F30ACC"/>
    <w:rsid w:val="00F30C22"/>
    <w:rsid w:val="00F3203B"/>
    <w:rsid w:val="00F323DC"/>
    <w:rsid w:val="00F3276E"/>
    <w:rsid w:val="00F32928"/>
    <w:rsid w:val="00F3332B"/>
    <w:rsid w:val="00F333AD"/>
    <w:rsid w:val="00F33B9B"/>
    <w:rsid w:val="00F33C5F"/>
    <w:rsid w:val="00F33D0F"/>
    <w:rsid w:val="00F33D3C"/>
    <w:rsid w:val="00F34180"/>
    <w:rsid w:val="00F3423C"/>
    <w:rsid w:val="00F3427A"/>
    <w:rsid w:val="00F34873"/>
    <w:rsid w:val="00F34F1D"/>
    <w:rsid w:val="00F35DE3"/>
    <w:rsid w:val="00F36945"/>
    <w:rsid w:val="00F37211"/>
    <w:rsid w:val="00F37A91"/>
    <w:rsid w:val="00F37B58"/>
    <w:rsid w:val="00F4001D"/>
    <w:rsid w:val="00F40248"/>
    <w:rsid w:val="00F408A0"/>
    <w:rsid w:val="00F40E2B"/>
    <w:rsid w:val="00F412E8"/>
    <w:rsid w:val="00F4186D"/>
    <w:rsid w:val="00F41946"/>
    <w:rsid w:val="00F42771"/>
    <w:rsid w:val="00F42948"/>
    <w:rsid w:val="00F4311F"/>
    <w:rsid w:val="00F433AF"/>
    <w:rsid w:val="00F434BB"/>
    <w:rsid w:val="00F43DB1"/>
    <w:rsid w:val="00F4441C"/>
    <w:rsid w:val="00F4550B"/>
    <w:rsid w:val="00F45894"/>
    <w:rsid w:val="00F45CF5"/>
    <w:rsid w:val="00F46197"/>
    <w:rsid w:val="00F46505"/>
    <w:rsid w:val="00F4681B"/>
    <w:rsid w:val="00F46F86"/>
    <w:rsid w:val="00F474D3"/>
    <w:rsid w:val="00F47DB0"/>
    <w:rsid w:val="00F50161"/>
    <w:rsid w:val="00F50386"/>
    <w:rsid w:val="00F5049D"/>
    <w:rsid w:val="00F504ED"/>
    <w:rsid w:val="00F50B42"/>
    <w:rsid w:val="00F50C3F"/>
    <w:rsid w:val="00F50DCD"/>
    <w:rsid w:val="00F50E34"/>
    <w:rsid w:val="00F512CD"/>
    <w:rsid w:val="00F51590"/>
    <w:rsid w:val="00F51736"/>
    <w:rsid w:val="00F51AFB"/>
    <w:rsid w:val="00F51F68"/>
    <w:rsid w:val="00F53189"/>
    <w:rsid w:val="00F53EF7"/>
    <w:rsid w:val="00F5476F"/>
    <w:rsid w:val="00F54BF2"/>
    <w:rsid w:val="00F54C63"/>
    <w:rsid w:val="00F565DC"/>
    <w:rsid w:val="00F56E22"/>
    <w:rsid w:val="00F57488"/>
    <w:rsid w:val="00F576B6"/>
    <w:rsid w:val="00F57778"/>
    <w:rsid w:val="00F57949"/>
    <w:rsid w:val="00F57F1F"/>
    <w:rsid w:val="00F6015C"/>
    <w:rsid w:val="00F6021F"/>
    <w:rsid w:val="00F60D8A"/>
    <w:rsid w:val="00F61550"/>
    <w:rsid w:val="00F61E5E"/>
    <w:rsid w:val="00F61FE2"/>
    <w:rsid w:val="00F621B9"/>
    <w:rsid w:val="00F62BD4"/>
    <w:rsid w:val="00F631A5"/>
    <w:rsid w:val="00F637EB"/>
    <w:rsid w:val="00F6392B"/>
    <w:rsid w:val="00F639C3"/>
    <w:rsid w:val="00F63ACE"/>
    <w:rsid w:val="00F6425D"/>
    <w:rsid w:val="00F644B4"/>
    <w:rsid w:val="00F64E78"/>
    <w:rsid w:val="00F650DD"/>
    <w:rsid w:val="00F65269"/>
    <w:rsid w:val="00F654FE"/>
    <w:rsid w:val="00F65686"/>
    <w:rsid w:val="00F657F9"/>
    <w:rsid w:val="00F65B1A"/>
    <w:rsid w:val="00F66099"/>
    <w:rsid w:val="00F665B4"/>
    <w:rsid w:val="00F66618"/>
    <w:rsid w:val="00F666A9"/>
    <w:rsid w:val="00F669E3"/>
    <w:rsid w:val="00F66DF7"/>
    <w:rsid w:val="00F67986"/>
    <w:rsid w:val="00F67A7E"/>
    <w:rsid w:val="00F70706"/>
    <w:rsid w:val="00F70756"/>
    <w:rsid w:val="00F71814"/>
    <w:rsid w:val="00F72665"/>
    <w:rsid w:val="00F72975"/>
    <w:rsid w:val="00F72989"/>
    <w:rsid w:val="00F7333C"/>
    <w:rsid w:val="00F73580"/>
    <w:rsid w:val="00F735C2"/>
    <w:rsid w:val="00F739AD"/>
    <w:rsid w:val="00F73D27"/>
    <w:rsid w:val="00F74265"/>
    <w:rsid w:val="00F74CCD"/>
    <w:rsid w:val="00F75361"/>
    <w:rsid w:val="00F753EF"/>
    <w:rsid w:val="00F754D8"/>
    <w:rsid w:val="00F7587D"/>
    <w:rsid w:val="00F75CD5"/>
    <w:rsid w:val="00F76158"/>
    <w:rsid w:val="00F76B8F"/>
    <w:rsid w:val="00F7731D"/>
    <w:rsid w:val="00F774C3"/>
    <w:rsid w:val="00F775AC"/>
    <w:rsid w:val="00F77DE3"/>
    <w:rsid w:val="00F77F6C"/>
    <w:rsid w:val="00F80485"/>
    <w:rsid w:val="00F80EDE"/>
    <w:rsid w:val="00F80F28"/>
    <w:rsid w:val="00F81DD7"/>
    <w:rsid w:val="00F829B3"/>
    <w:rsid w:val="00F83155"/>
    <w:rsid w:val="00F83FA2"/>
    <w:rsid w:val="00F841DE"/>
    <w:rsid w:val="00F84208"/>
    <w:rsid w:val="00F847BF"/>
    <w:rsid w:val="00F8508A"/>
    <w:rsid w:val="00F85C41"/>
    <w:rsid w:val="00F861CF"/>
    <w:rsid w:val="00F865DB"/>
    <w:rsid w:val="00F86835"/>
    <w:rsid w:val="00F868D2"/>
    <w:rsid w:val="00F87751"/>
    <w:rsid w:val="00F8792F"/>
    <w:rsid w:val="00F90595"/>
    <w:rsid w:val="00F91117"/>
    <w:rsid w:val="00F91385"/>
    <w:rsid w:val="00F91401"/>
    <w:rsid w:val="00F916CF"/>
    <w:rsid w:val="00F91C05"/>
    <w:rsid w:val="00F9213D"/>
    <w:rsid w:val="00F9214D"/>
    <w:rsid w:val="00F921D0"/>
    <w:rsid w:val="00F92355"/>
    <w:rsid w:val="00F92547"/>
    <w:rsid w:val="00F92C2E"/>
    <w:rsid w:val="00F934CA"/>
    <w:rsid w:val="00F9376E"/>
    <w:rsid w:val="00F93963"/>
    <w:rsid w:val="00F9398D"/>
    <w:rsid w:val="00F94291"/>
    <w:rsid w:val="00F94800"/>
    <w:rsid w:val="00F94A46"/>
    <w:rsid w:val="00F970B4"/>
    <w:rsid w:val="00F97B4C"/>
    <w:rsid w:val="00F97CEF"/>
    <w:rsid w:val="00FA033A"/>
    <w:rsid w:val="00FA099D"/>
    <w:rsid w:val="00FA0BAA"/>
    <w:rsid w:val="00FA0DDE"/>
    <w:rsid w:val="00FA0F02"/>
    <w:rsid w:val="00FA151B"/>
    <w:rsid w:val="00FA170E"/>
    <w:rsid w:val="00FA1E0A"/>
    <w:rsid w:val="00FA230E"/>
    <w:rsid w:val="00FA231C"/>
    <w:rsid w:val="00FA27EA"/>
    <w:rsid w:val="00FA298A"/>
    <w:rsid w:val="00FA2C28"/>
    <w:rsid w:val="00FA2E5B"/>
    <w:rsid w:val="00FA2E73"/>
    <w:rsid w:val="00FA2FA5"/>
    <w:rsid w:val="00FA3357"/>
    <w:rsid w:val="00FA3ED1"/>
    <w:rsid w:val="00FA4CF0"/>
    <w:rsid w:val="00FA4EF8"/>
    <w:rsid w:val="00FA52A7"/>
    <w:rsid w:val="00FA533A"/>
    <w:rsid w:val="00FA5360"/>
    <w:rsid w:val="00FA5B66"/>
    <w:rsid w:val="00FA5B95"/>
    <w:rsid w:val="00FA5BF6"/>
    <w:rsid w:val="00FA6418"/>
    <w:rsid w:val="00FA6B94"/>
    <w:rsid w:val="00FA7579"/>
    <w:rsid w:val="00FA7CF6"/>
    <w:rsid w:val="00FB00A9"/>
    <w:rsid w:val="00FB03FD"/>
    <w:rsid w:val="00FB0985"/>
    <w:rsid w:val="00FB0A70"/>
    <w:rsid w:val="00FB0AD0"/>
    <w:rsid w:val="00FB0B9C"/>
    <w:rsid w:val="00FB16D4"/>
    <w:rsid w:val="00FB1CD4"/>
    <w:rsid w:val="00FB1D74"/>
    <w:rsid w:val="00FB1D8A"/>
    <w:rsid w:val="00FB24E1"/>
    <w:rsid w:val="00FB2BEC"/>
    <w:rsid w:val="00FB2C64"/>
    <w:rsid w:val="00FB2F81"/>
    <w:rsid w:val="00FB30EB"/>
    <w:rsid w:val="00FB3D08"/>
    <w:rsid w:val="00FB67F8"/>
    <w:rsid w:val="00FB6ED0"/>
    <w:rsid w:val="00FB7431"/>
    <w:rsid w:val="00FB7797"/>
    <w:rsid w:val="00FB7982"/>
    <w:rsid w:val="00FC0338"/>
    <w:rsid w:val="00FC0734"/>
    <w:rsid w:val="00FC07A7"/>
    <w:rsid w:val="00FC0FC5"/>
    <w:rsid w:val="00FC2451"/>
    <w:rsid w:val="00FC2516"/>
    <w:rsid w:val="00FC2CED"/>
    <w:rsid w:val="00FC3573"/>
    <w:rsid w:val="00FC3D9D"/>
    <w:rsid w:val="00FC3DC1"/>
    <w:rsid w:val="00FC4E31"/>
    <w:rsid w:val="00FC5559"/>
    <w:rsid w:val="00FC5622"/>
    <w:rsid w:val="00FC588F"/>
    <w:rsid w:val="00FC5F87"/>
    <w:rsid w:val="00FC6879"/>
    <w:rsid w:val="00FC6AD0"/>
    <w:rsid w:val="00FC6DA1"/>
    <w:rsid w:val="00FC6E3C"/>
    <w:rsid w:val="00FC71F4"/>
    <w:rsid w:val="00FC7C6E"/>
    <w:rsid w:val="00FD0B8A"/>
    <w:rsid w:val="00FD1065"/>
    <w:rsid w:val="00FD17A2"/>
    <w:rsid w:val="00FD220C"/>
    <w:rsid w:val="00FD223C"/>
    <w:rsid w:val="00FD22FA"/>
    <w:rsid w:val="00FD3673"/>
    <w:rsid w:val="00FD3F72"/>
    <w:rsid w:val="00FD434E"/>
    <w:rsid w:val="00FD4369"/>
    <w:rsid w:val="00FD4392"/>
    <w:rsid w:val="00FD43C2"/>
    <w:rsid w:val="00FD48C5"/>
    <w:rsid w:val="00FD544D"/>
    <w:rsid w:val="00FD57CC"/>
    <w:rsid w:val="00FD5993"/>
    <w:rsid w:val="00FD5B81"/>
    <w:rsid w:val="00FD60DC"/>
    <w:rsid w:val="00FD61DD"/>
    <w:rsid w:val="00FD62E0"/>
    <w:rsid w:val="00FD6FDA"/>
    <w:rsid w:val="00FD7447"/>
    <w:rsid w:val="00FD75D3"/>
    <w:rsid w:val="00FD7A2F"/>
    <w:rsid w:val="00FD7D81"/>
    <w:rsid w:val="00FE01C5"/>
    <w:rsid w:val="00FE0A97"/>
    <w:rsid w:val="00FE1021"/>
    <w:rsid w:val="00FE10B6"/>
    <w:rsid w:val="00FE1B30"/>
    <w:rsid w:val="00FE216D"/>
    <w:rsid w:val="00FE24F1"/>
    <w:rsid w:val="00FE3033"/>
    <w:rsid w:val="00FE328D"/>
    <w:rsid w:val="00FE3F19"/>
    <w:rsid w:val="00FE40B1"/>
    <w:rsid w:val="00FE5013"/>
    <w:rsid w:val="00FE667D"/>
    <w:rsid w:val="00FE6BA9"/>
    <w:rsid w:val="00FE7720"/>
    <w:rsid w:val="00FE7B44"/>
    <w:rsid w:val="00FE7FEB"/>
    <w:rsid w:val="00FF0D68"/>
    <w:rsid w:val="00FF16D3"/>
    <w:rsid w:val="00FF1891"/>
    <w:rsid w:val="00FF18D4"/>
    <w:rsid w:val="00FF1907"/>
    <w:rsid w:val="00FF1BD3"/>
    <w:rsid w:val="00FF246F"/>
    <w:rsid w:val="00FF252B"/>
    <w:rsid w:val="00FF2C7F"/>
    <w:rsid w:val="00FF2E4D"/>
    <w:rsid w:val="00FF34EF"/>
    <w:rsid w:val="00FF3F71"/>
    <w:rsid w:val="00FF4365"/>
    <w:rsid w:val="00FF4CC7"/>
    <w:rsid w:val="00FF52C9"/>
    <w:rsid w:val="00FF5A85"/>
    <w:rsid w:val="00FF6D3F"/>
    <w:rsid w:val="00FF79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73471"/>
  <w15:docId w15:val="{A5AE007B-95FC-4273-AB27-52FCDB21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ListParagraph">
    <w:name w:val="List Paragraph"/>
    <w:basedOn w:val="Normal"/>
    <w:uiPriority w:val="34"/>
    <w:qFormat/>
    <w:rsid w:val="008639B1"/>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A5CA8"/>
    <w:rPr>
      <w:sz w:val="24"/>
      <w:lang w:eastAsia="en-US"/>
    </w:rPr>
  </w:style>
  <w:style w:type="paragraph" w:customStyle="1" w:styleId="subsection">
    <w:name w:val="subsection"/>
    <w:basedOn w:val="Normal"/>
    <w:rsid w:val="000A21D1"/>
    <w:pPr>
      <w:spacing w:before="100" w:beforeAutospacing="1" w:after="100" w:afterAutospacing="1" w:line="240" w:lineRule="auto"/>
      <w:jc w:val="left"/>
    </w:pPr>
    <w:rPr>
      <w:rFonts w:eastAsia="Times New Roman"/>
      <w:szCs w:val="24"/>
      <w:lang w:eastAsia="en-AU"/>
    </w:rPr>
  </w:style>
  <w:style w:type="paragraph" w:customStyle="1" w:styleId="paragraph">
    <w:name w:val="paragraph"/>
    <w:basedOn w:val="Normal"/>
    <w:rsid w:val="000A21D1"/>
    <w:pPr>
      <w:spacing w:before="100" w:beforeAutospacing="1" w:after="100" w:afterAutospacing="1" w:line="240" w:lineRule="auto"/>
      <w:jc w:val="left"/>
    </w:pPr>
    <w:rPr>
      <w:rFonts w:eastAsia="Times New Roman"/>
      <w:szCs w:val="24"/>
      <w:lang w:eastAsia="en-AU"/>
    </w:rPr>
  </w:style>
  <w:style w:type="character" w:styleId="UnresolvedMention">
    <w:name w:val="Unresolved Mention"/>
    <w:basedOn w:val="DefaultParagraphFont"/>
    <w:uiPriority w:val="99"/>
    <w:semiHidden/>
    <w:unhideWhenUsed/>
    <w:rsid w:val="00864FF4"/>
    <w:rPr>
      <w:color w:val="605E5C"/>
      <w:shd w:val="clear" w:color="auto" w:fill="E1DFDD"/>
    </w:rPr>
  </w:style>
  <w:style w:type="character" w:customStyle="1" w:styleId="jade-incoming-citation">
    <w:name w:val="jade-incoming-citation"/>
    <w:basedOn w:val="DefaultParagraphFont"/>
    <w:rsid w:val="00BC3D73"/>
  </w:style>
  <w:style w:type="paragraph" w:customStyle="1" w:styleId="Default">
    <w:name w:val="Default"/>
    <w:rsid w:val="00DB4C48"/>
    <w:pPr>
      <w:autoSpaceDE w:val="0"/>
      <w:autoSpaceDN w:val="0"/>
      <w:adjustRightInd w:val="0"/>
    </w:pPr>
    <w:rPr>
      <w:color w:val="000000"/>
      <w:sz w:val="24"/>
      <w:szCs w:val="24"/>
    </w:rPr>
  </w:style>
  <w:style w:type="paragraph" w:customStyle="1" w:styleId="notetext">
    <w:name w:val="notetext"/>
    <w:basedOn w:val="Normal"/>
    <w:rsid w:val="00D334FF"/>
    <w:pPr>
      <w:spacing w:before="100" w:beforeAutospacing="1" w:after="100" w:afterAutospacing="1" w:line="240" w:lineRule="auto"/>
      <w:jc w:val="left"/>
    </w:pPr>
    <w:rPr>
      <w:rFonts w:eastAsia="Times New Roman"/>
      <w:szCs w:val="24"/>
      <w:lang w:eastAsia="en-AU"/>
    </w:rPr>
  </w:style>
  <w:style w:type="paragraph" w:customStyle="1" w:styleId="00b533f2">
    <w:name w:val="00b533f2"/>
    <w:basedOn w:val="Normal"/>
    <w:rsid w:val="00BE3819"/>
    <w:pPr>
      <w:spacing w:before="100" w:beforeAutospacing="1" w:after="100" w:afterAutospacing="1" w:line="240" w:lineRule="auto"/>
      <w:jc w:val="left"/>
    </w:pPr>
    <w:rPr>
      <w:rFonts w:eastAsia="Times New Roman"/>
      <w:szCs w:val="24"/>
      <w:lang w:eastAsia="en-AU"/>
    </w:rPr>
  </w:style>
  <w:style w:type="paragraph" w:customStyle="1" w:styleId="0030425d">
    <w:name w:val="0030425d"/>
    <w:basedOn w:val="Normal"/>
    <w:rsid w:val="00BE3819"/>
    <w:pPr>
      <w:spacing w:before="100" w:beforeAutospacing="1" w:after="100" w:afterAutospacing="1" w:line="240" w:lineRule="auto"/>
      <w:jc w:val="left"/>
    </w:pPr>
    <w:rPr>
      <w:rFonts w:eastAsia="Times New Roman"/>
      <w:szCs w:val="24"/>
      <w:lang w:eastAsia="en-AU"/>
    </w:rPr>
  </w:style>
  <w:style w:type="paragraph" w:customStyle="1" w:styleId="jade-outdent">
    <w:name w:val="jade-outdent"/>
    <w:basedOn w:val="Normal"/>
    <w:rsid w:val="00C53745"/>
    <w:pPr>
      <w:spacing w:before="100" w:beforeAutospacing="1" w:after="100" w:afterAutospacing="1" w:line="240" w:lineRule="auto"/>
      <w:jc w:val="left"/>
    </w:pPr>
    <w:rPr>
      <w:rFonts w:eastAsia="Times New Roman"/>
      <w:szCs w:val="24"/>
      <w:lang w:eastAsia="en-AU"/>
    </w:rPr>
  </w:style>
  <w:style w:type="paragraph" w:styleId="Revision">
    <w:name w:val="Revision"/>
    <w:hidden/>
    <w:uiPriority w:val="99"/>
    <w:semiHidden/>
    <w:rsid w:val="00F2773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93326">
      <w:bodyDiv w:val="1"/>
      <w:marLeft w:val="0"/>
      <w:marRight w:val="0"/>
      <w:marTop w:val="0"/>
      <w:marBottom w:val="0"/>
      <w:divBdr>
        <w:top w:val="none" w:sz="0" w:space="0" w:color="auto"/>
        <w:left w:val="none" w:sz="0" w:space="0" w:color="auto"/>
        <w:bottom w:val="none" w:sz="0" w:space="0" w:color="auto"/>
        <w:right w:val="none" w:sz="0" w:space="0" w:color="auto"/>
      </w:divBdr>
    </w:div>
    <w:div w:id="283540890">
      <w:bodyDiv w:val="1"/>
      <w:marLeft w:val="0"/>
      <w:marRight w:val="0"/>
      <w:marTop w:val="0"/>
      <w:marBottom w:val="0"/>
      <w:divBdr>
        <w:top w:val="none" w:sz="0" w:space="0" w:color="auto"/>
        <w:left w:val="none" w:sz="0" w:space="0" w:color="auto"/>
        <w:bottom w:val="none" w:sz="0" w:space="0" w:color="auto"/>
        <w:right w:val="none" w:sz="0" w:space="0" w:color="auto"/>
      </w:divBdr>
      <w:divsChild>
        <w:div w:id="229383993">
          <w:blockQuote w:val="1"/>
          <w:marLeft w:val="768"/>
          <w:marRight w:val="720"/>
          <w:marTop w:val="0"/>
          <w:marBottom w:val="0"/>
          <w:divBdr>
            <w:top w:val="none" w:sz="0" w:space="0" w:color="auto"/>
            <w:left w:val="none" w:sz="0" w:space="0" w:color="auto"/>
            <w:bottom w:val="none" w:sz="0" w:space="0" w:color="auto"/>
            <w:right w:val="none" w:sz="0" w:space="0" w:color="auto"/>
          </w:divBdr>
        </w:div>
        <w:div w:id="691029318">
          <w:blockQuote w:val="1"/>
          <w:marLeft w:val="768"/>
          <w:marRight w:val="720"/>
          <w:marTop w:val="0"/>
          <w:marBottom w:val="0"/>
          <w:divBdr>
            <w:top w:val="none" w:sz="0" w:space="0" w:color="auto"/>
            <w:left w:val="none" w:sz="0" w:space="0" w:color="auto"/>
            <w:bottom w:val="none" w:sz="0" w:space="0" w:color="auto"/>
            <w:right w:val="none" w:sz="0" w:space="0" w:color="auto"/>
          </w:divBdr>
        </w:div>
        <w:div w:id="156044084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64096315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315454320">
      <w:bodyDiv w:val="1"/>
      <w:marLeft w:val="0"/>
      <w:marRight w:val="0"/>
      <w:marTop w:val="0"/>
      <w:marBottom w:val="0"/>
      <w:divBdr>
        <w:top w:val="none" w:sz="0" w:space="0" w:color="auto"/>
        <w:left w:val="none" w:sz="0" w:space="0" w:color="auto"/>
        <w:bottom w:val="none" w:sz="0" w:space="0" w:color="auto"/>
        <w:right w:val="none" w:sz="0" w:space="0" w:color="auto"/>
      </w:divBdr>
      <w:divsChild>
        <w:div w:id="273099925">
          <w:blockQuote w:val="1"/>
          <w:marLeft w:val="768"/>
          <w:marRight w:val="720"/>
          <w:marTop w:val="0"/>
          <w:marBottom w:val="0"/>
          <w:divBdr>
            <w:top w:val="none" w:sz="0" w:space="0" w:color="auto"/>
            <w:left w:val="none" w:sz="0" w:space="0" w:color="auto"/>
            <w:bottom w:val="none" w:sz="0" w:space="0" w:color="auto"/>
            <w:right w:val="none" w:sz="0" w:space="0" w:color="auto"/>
          </w:divBdr>
        </w:div>
        <w:div w:id="361177455">
          <w:blockQuote w:val="1"/>
          <w:marLeft w:val="768"/>
          <w:marRight w:val="720"/>
          <w:marTop w:val="0"/>
          <w:marBottom w:val="0"/>
          <w:divBdr>
            <w:top w:val="none" w:sz="0" w:space="0" w:color="auto"/>
            <w:left w:val="none" w:sz="0" w:space="0" w:color="auto"/>
            <w:bottom w:val="none" w:sz="0" w:space="0" w:color="auto"/>
            <w:right w:val="none" w:sz="0" w:space="0" w:color="auto"/>
          </w:divBdr>
        </w:div>
        <w:div w:id="1543133594">
          <w:blockQuote w:val="1"/>
          <w:marLeft w:val="768"/>
          <w:marRight w:val="720"/>
          <w:marTop w:val="0"/>
          <w:marBottom w:val="0"/>
          <w:divBdr>
            <w:top w:val="none" w:sz="0" w:space="0" w:color="auto"/>
            <w:left w:val="none" w:sz="0" w:space="0" w:color="auto"/>
            <w:bottom w:val="none" w:sz="0" w:space="0" w:color="auto"/>
            <w:right w:val="none" w:sz="0" w:space="0" w:color="auto"/>
          </w:divBdr>
          <w:divsChild>
            <w:div w:id="6881550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487983771">
      <w:bodyDiv w:val="1"/>
      <w:marLeft w:val="0"/>
      <w:marRight w:val="0"/>
      <w:marTop w:val="0"/>
      <w:marBottom w:val="0"/>
      <w:divBdr>
        <w:top w:val="none" w:sz="0" w:space="0" w:color="auto"/>
        <w:left w:val="none" w:sz="0" w:space="0" w:color="auto"/>
        <w:bottom w:val="none" w:sz="0" w:space="0" w:color="auto"/>
        <w:right w:val="none" w:sz="0" w:space="0" w:color="auto"/>
      </w:divBdr>
    </w:div>
    <w:div w:id="795953649">
      <w:bodyDiv w:val="1"/>
      <w:marLeft w:val="0"/>
      <w:marRight w:val="0"/>
      <w:marTop w:val="0"/>
      <w:marBottom w:val="0"/>
      <w:divBdr>
        <w:top w:val="none" w:sz="0" w:space="0" w:color="auto"/>
        <w:left w:val="none" w:sz="0" w:space="0" w:color="auto"/>
        <w:bottom w:val="none" w:sz="0" w:space="0" w:color="auto"/>
        <w:right w:val="none" w:sz="0" w:space="0" w:color="auto"/>
      </w:divBdr>
    </w:div>
    <w:div w:id="859054303">
      <w:bodyDiv w:val="1"/>
      <w:marLeft w:val="0"/>
      <w:marRight w:val="0"/>
      <w:marTop w:val="0"/>
      <w:marBottom w:val="0"/>
      <w:divBdr>
        <w:top w:val="none" w:sz="0" w:space="0" w:color="auto"/>
        <w:left w:val="none" w:sz="0" w:space="0" w:color="auto"/>
        <w:bottom w:val="none" w:sz="0" w:space="0" w:color="auto"/>
        <w:right w:val="none" w:sz="0" w:space="0" w:color="auto"/>
      </w:divBdr>
    </w:div>
    <w:div w:id="962999500">
      <w:bodyDiv w:val="1"/>
      <w:marLeft w:val="0"/>
      <w:marRight w:val="0"/>
      <w:marTop w:val="0"/>
      <w:marBottom w:val="0"/>
      <w:divBdr>
        <w:top w:val="none" w:sz="0" w:space="0" w:color="auto"/>
        <w:left w:val="none" w:sz="0" w:space="0" w:color="auto"/>
        <w:bottom w:val="none" w:sz="0" w:space="0" w:color="auto"/>
        <w:right w:val="none" w:sz="0" w:space="0" w:color="auto"/>
      </w:divBdr>
    </w:div>
    <w:div w:id="1076592002">
      <w:bodyDiv w:val="1"/>
      <w:marLeft w:val="0"/>
      <w:marRight w:val="0"/>
      <w:marTop w:val="0"/>
      <w:marBottom w:val="0"/>
      <w:divBdr>
        <w:top w:val="none" w:sz="0" w:space="0" w:color="auto"/>
        <w:left w:val="none" w:sz="0" w:space="0" w:color="auto"/>
        <w:bottom w:val="none" w:sz="0" w:space="0" w:color="auto"/>
        <w:right w:val="none" w:sz="0" w:space="0" w:color="auto"/>
      </w:divBdr>
    </w:div>
    <w:div w:id="1127814194">
      <w:bodyDiv w:val="1"/>
      <w:marLeft w:val="0"/>
      <w:marRight w:val="0"/>
      <w:marTop w:val="0"/>
      <w:marBottom w:val="0"/>
      <w:divBdr>
        <w:top w:val="none" w:sz="0" w:space="0" w:color="auto"/>
        <w:left w:val="none" w:sz="0" w:space="0" w:color="auto"/>
        <w:bottom w:val="none" w:sz="0" w:space="0" w:color="auto"/>
        <w:right w:val="none" w:sz="0" w:space="0" w:color="auto"/>
      </w:divBdr>
    </w:div>
    <w:div w:id="1148474715">
      <w:bodyDiv w:val="1"/>
      <w:marLeft w:val="0"/>
      <w:marRight w:val="0"/>
      <w:marTop w:val="0"/>
      <w:marBottom w:val="0"/>
      <w:divBdr>
        <w:top w:val="none" w:sz="0" w:space="0" w:color="auto"/>
        <w:left w:val="none" w:sz="0" w:space="0" w:color="auto"/>
        <w:bottom w:val="none" w:sz="0" w:space="0" w:color="auto"/>
        <w:right w:val="none" w:sz="0" w:space="0" w:color="auto"/>
      </w:divBdr>
    </w:div>
    <w:div w:id="1259019101">
      <w:bodyDiv w:val="1"/>
      <w:marLeft w:val="0"/>
      <w:marRight w:val="0"/>
      <w:marTop w:val="0"/>
      <w:marBottom w:val="0"/>
      <w:divBdr>
        <w:top w:val="none" w:sz="0" w:space="0" w:color="auto"/>
        <w:left w:val="none" w:sz="0" w:space="0" w:color="auto"/>
        <w:bottom w:val="none" w:sz="0" w:space="0" w:color="auto"/>
        <w:right w:val="none" w:sz="0" w:space="0" w:color="auto"/>
      </w:divBdr>
    </w:div>
    <w:div w:id="1426724772">
      <w:bodyDiv w:val="1"/>
      <w:marLeft w:val="0"/>
      <w:marRight w:val="0"/>
      <w:marTop w:val="0"/>
      <w:marBottom w:val="0"/>
      <w:divBdr>
        <w:top w:val="none" w:sz="0" w:space="0" w:color="auto"/>
        <w:left w:val="none" w:sz="0" w:space="0" w:color="auto"/>
        <w:bottom w:val="none" w:sz="0" w:space="0" w:color="auto"/>
        <w:right w:val="none" w:sz="0" w:space="0" w:color="auto"/>
      </w:divBdr>
    </w:div>
    <w:div w:id="1490632104">
      <w:bodyDiv w:val="1"/>
      <w:marLeft w:val="0"/>
      <w:marRight w:val="0"/>
      <w:marTop w:val="0"/>
      <w:marBottom w:val="0"/>
      <w:divBdr>
        <w:top w:val="none" w:sz="0" w:space="0" w:color="auto"/>
        <w:left w:val="none" w:sz="0" w:space="0" w:color="auto"/>
        <w:bottom w:val="none" w:sz="0" w:space="0" w:color="auto"/>
        <w:right w:val="none" w:sz="0" w:space="0" w:color="auto"/>
      </w:divBdr>
    </w:div>
    <w:div w:id="1497383883">
      <w:bodyDiv w:val="1"/>
      <w:marLeft w:val="0"/>
      <w:marRight w:val="0"/>
      <w:marTop w:val="0"/>
      <w:marBottom w:val="0"/>
      <w:divBdr>
        <w:top w:val="none" w:sz="0" w:space="0" w:color="auto"/>
        <w:left w:val="none" w:sz="0" w:space="0" w:color="auto"/>
        <w:bottom w:val="none" w:sz="0" w:space="0" w:color="auto"/>
        <w:right w:val="none" w:sz="0" w:space="0" w:color="auto"/>
      </w:divBdr>
    </w:div>
    <w:div w:id="1539588211">
      <w:bodyDiv w:val="1"/>
      <w:marLeft w:val="0"/>
      <w:marRight w:val="0"/>
      <w:marTop w:val="0"/>
      <w:marBottom w:val="0"/>
      <w:divBdr>
        <w:top w:val="none" w:sz="0" w:space="0" w:color="auto"/>
        <w:left w:val="none" w:sz="0" w:space="0" w:color="auto"/>
        <w:bottom w:val="none" w:sz="0" w:space="0" w:color="auto"/>
        <w:right w:val="none" w:sz="0" w:space="0" w:color="auto"/>
      </w:divBdr>
    </w:div>
    <w:div w:id="1581056499">
      <w:bodyDiv w:val="1"/>
      <w:marLeft w:val="0"/>
      <w:marRight w:val="0"/>
      <w:marTop w:val="0"/>
      <w:marBottom w:val="0"/>
      <w:divBdr>
        <w:top w:val="none" w:sz="0" w:space="0" w:color="auto"/>
        <w:left w:val="none" w:sz="0" w:space="0" w:color="auto"/>
        <w:bottom w:val="none" w:sz="0" w:space="0" w:color="auto"/>
        <w:right w:val="none" w:sz="0" w:space="0" w:color="auto"/>
      </w:divBdr>
    </w:div>
    <w:div w:id="1639215274">
      <w:bodyDiv w:val="1"/>
      <w:marLeft w:val="0"/>
      <w:marRight w:val="0"/>
      <w:marTop w:val="0"/>
      <w:marBottom w:val="0"/>
      <w:divBdr>
        <w:top w:val="none" w:sz="0" w:space="0" w:color="auto"/>
        <w:left w:val="none" w:sz="0" w:space="0" w:color="auto"/>
        <w:bottom w:val="none" w:sz="0" w:space="0" w:color="auto"/>
        <w:right w:val="none" w:sz="0" w:space="0" w:color="auto"/>
      </w:divBdr>
    </w:div>
    <w:div w:id="1703362216">
      <w:bodyDiv w:val="1"/>
      <w:marLeft w:val="0"/>
      <w:marRight w:val="0"/>
      <w:marTop w:val="0"/>
      <w:marBottom w:val="0"/>
      <w:divBdr>
        <w:top w:val="none" w:sz="0" w:space="0" w:color="auto"/>
        <w:left w:val="none" w:sz="0" w:space="0" w:color="auto"/>
        <w:bottom w:val="none" w:sz="0" w:space="0" w:color="auto"/>
        <w:right w:val="none" w:sz="0" w:space="0" w:color="auto"/>
      </w:divBdr>
    </w:div>
    <w:div w:id="1714497146">
      <w:bodyDiv w:val="1"/>
      <w:marLeft w:val="0"/>
      <w:marRight w:val="0"/>
      <w:marTop w:val="0"/>
      <w:marBottom w:val="0"/>
      <w:divBdr>
        <w:top w:val="none" w:sz="0" w:space="0" w:color="auto"/>
        <w:left w:val="none" w:sz="0" w:space="0" w:color="auto"/>
        <w:bottom w:val="none" w:sz="0" w:space="0" w:color="auto"/>
        <w:right w:val="none" w:sz="0" w:space="0" w:color="auto"/>
      </w:divBdr>
    </w:div>
    <w:div w:id="1888444026">
      <w:bodyDiv w:val="1"/>
      <w:marLeft w:val="0"/>
      <w:marRight w:val="0"/>
      <w:marTop w:val="0"/>
      <w:marBottom w:val="0"/>
      <w:divBdr>
        <w:top w:val="none" w:sz="0" w:space="0" w:color="auto"/>
        <w:left w:val="none" w:sz="0" w:space="0" w:color="auto"/>
        <w:bottom w:val="none" w:sz="0" w:space="0" w:color="auto"/>
        <w:right w:val="none" w:sz="0" w:space="0" w:color="auto"/>
      </w:divBdr>
    </w:div>
    <w:div w:id="1910067935">
      <w:bodyDiv w:val="1"/>
      <w:marLeft w:val="0"/>
      <w:marRight w:val="0"/>
      <w:marTop w:val="0"/>
      <w:marBottom w:val="0"/>
      <w:divBdr>
        <w:top w:val="none" w:sz="0" w:space="0" w:color="auto"/>
        <w:left w:val="none" w:sz="0" w:space="0" w:color="auto"/>
        <w:bottom w:val="none" w:sz="0" w:space="0" w:color="auto"/>
        <w:right w:val="none" w:sz="0" w:space="0" w:color="auto"/>
      </w:divBdr>
    </w:div>
    <w:div w:id="1910458620">
      <w:bodyDiv w:val="1"/>
      <w:marLeft w:val="0"/>
      <w:marRight w:val="0"/>
      <w:marTop w:val="0"/>
      <w:marBottom w:val="0"/>
      <w:divBdr>
        <w:top w:val="none" w:sz="0" w:space="0" w:color="auto"/>
        <w:left w:val="none" w:sz="0" w:space="0" w:color="auto"/>
        <w:bottom w:val="none" w:sz="0" w:space="0" w:color="auto"/>
        <w:right w:val="none" w:sz="0" w:space="0" w:color="auto"/>
      </w:divBdr>
    </w:div>
    <w:div w:id="21034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https://jade.io/article/216440/section/715"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jade.io/article/2164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jade.io/article/65422" TargetMode="Externa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jade.io/article/216440" TargetMode="External"/><Relationship Id="rId14" Type="http://schemas.openxmlformats.org/officeDocument/2006/relationships/header" Target="header3.xml"/><Relationship Id="rId22" Type="http://schemas.openxmlformats.org/officeDocument/2006/relationships/hyperlink" Target="https://jade.io/article/65422" TargetMode="External"/><Relationship Id="rId27" Type="http://schemas.openxmlformats.org/officeDocument/2006/relationships/header" Target="head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AC9478C17CF493E951199D961315593"/>
        <w:category>
          <w:name w:val="General"/>
          <w:gallery w:val="placeholder"/>
        </w:category>
        <w:types>
          <w:type w:val="bbPlcHdr"/>
        </w:types>
        <w:behaviors>
          <w:behavior w:val="content"/>
        </w:behaviors>
        <w:guid w:val="{4C9FC7DE-FC7A-46C9-9AE8-443AA5AA3DD8}"/>
      </w:docPartPr>
      <w:docPartBody>
        <w:p w:rsidR="00265901" w:rsidRDefault="00265901">
          <w:pPr>
            <w:pStyle w:val="0AC9478C17CF493E951199D961315593"/>
          </w:pPr>
          <w:r>
            <w:rPr>
              <w:rStyle w:val="PlaceholderText"/>
            </w:rPr>
            <w:t>MNC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01"/>
    <w:rsid w:val="0004200A"/>
    <w:rsid w:val="00065CD6"/>
    <w:rsid w:val="00066112"/>
    <w:rsid w:val="00094C5D"/>
    <w:rsid w:val="000A6A6F"/>
    <w:rsid w:val="000B59EE"/>
    <w:rsid w:val="001538A0"/>
    <w:rsid w:val="001E2226"/>
    <w:rsid w:val="002004EE"/>
    <w:rsid w:val="00201DEA"/>
    <w:rsid w:val="0022031A"/>
    <w:rsid w:val="002365E4"/>
    <w:rsid w:val="00265901"/>
    <w:rsid w:val="00270BA2"/>
    <w:rsid w:val="002B2922"/>
    <w:rsid w:val="002B34E1"/>
    <w:rsid w:val="002D045D"/>
    <w:rsid w:val="002D091D"/>
    <w:rsid w:val="003052AF"/>
    <w:rsid w:val="003128FE"/>
    <w:rsid w:val="00320C4E"/>
    <w:rsid w:val="00354DF1"/>
    <w:rsid w:val="0035693C"/>
    <w:rsid w:val="00364EC1"/>
    <w:rsid w:val="003B3141"/>
    <w:rsid w:val="003E1CA5"/>
    <w:rsid w:val="00440D7E"/>
    <w:rsid w:val="00454146"/>
    <w:rsid w:val="00477E7F"/>
    <w:rsid w:val="004C3DB6"/>
    <w:rsid w:val="004C4611"/>
    <w:rsid w:val="0058127B"/>
    <w:rsid w:val="005C64EF"/>
    <w:rsid w:val="005F2553"/>
    <w:rsid w:val="006813A5"/>
    <w:rsid w:val="0068427F"/>
    <w:rsid w:val="006935A8"/>
    <w:rsid w:val="006F26B5"/>
    <w:rsid w:val="00724712"/>
    <w:rsid w:val="00736295"/>
    <w:rsid w:val="00747486"/>
    <w:rsid w:val="00754A78"/>
    <w:rsid w:val="0076717E"/>
    <w:rsid w:val="00770CDB"/>
    <w:rsid w:val="00777FFA"/>
    <w:rsid w:val="00781D6D"/>
    <w:rsid w:val="00793F24"/>
    <w:rsid w:val="007A6DDF"/>
    <w:rsid w:val="007B1244"/>
    <w:rsid w:val="007B706E"/>
    <w:rsid w:val="007F675D"/>
    <w:rsid w:val="00860829"/>
    <w:rsid w:val="00863BDF"/>
    <w:rsid w:val="008B1329"/>
    <w:rsid w:val="008B36E6"/>
    <w:rsid w:val="008D1C50"/>
    <w:rsid w:val="008D2EAA"/>
    <w:rsid w:val="008D34BA"/>
    <w:rsid w:val="00911EBA"/>
    <w:rsid w:val="0092042E"/>
    <w:rsid w:val="00935E67"/>
    <w:rsid w:val="009526FC"/>
    <w:rsid w:val="009571FC"/>
    <w:rsid w:val="009B524A"/>
    <w:rsid w:val="009C7DCB"/>
    <w:rsid w:val="009E7DA5"/>
    <w:rsid w:val="009F432F"/>
    <w:rsid w:val="00A147BC"/>
    <w:rsid w:val="00A14EAC"/>
    <w:rsid w:val="00A31D5D"/>
    <w:rsid w:val="00A43D2F"/>
    <w:rsid w:val="00A50005"/>
    <w:rsid w:val="00AC7162"/>
    <w:rsid w:val="00AF0732"/>
    <w:rsid w:val="00AF64B7"/>
    <w:rsid w:val="00B85ECA"/>
    <w:rsid w:val="00B90152"/>
    <w:rsid w:val="00BC1065"/>
    <w:rsid w:val="00C05C53"/>
    <w:rsid w:val="00CF2344"/>
    <w:rsid w:val="00D449BD"/>
    <w:rsid w:val="00D76EA0"/>
    <w:rsid w:val="00E153C2"/>
    <w:rsid w:val="00E41C41"/>
    <w:rsid w:val="00E47AAE"/>
    <w:rsid w:val="00E54826"/>
    <w:rsid w:val="00E8656B"/>
    <w:rsid w:val="00EA0C26"/>
    <w:rsid w:val="00EA6EBA"/>
    <w:rsid w:val="00EE1DAD"/>
    <w:rsid w:val="00EF2BBB"/>
    <w:rsid w:val="00F12B3F"/>
    <w:rsid w:val="00F31E7E"/>
    <w:rsid w:val="00FB1D8A"/>
    <w:rsid w:val="00FD0CA4"/>
    <w:rsid w:val="00FD4392"/>
    <w:rsid w:val="00FF43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C9478C17CF493E951199D961315593">
    <w:name w:val="0AC9478C17CF493E951199D9613155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Deripaska v Minister for Foreign Affairs [2025] FCAFC 36</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3</TotalTime>
  <Pages>44</Pages>
  <Words>16942</Words>
  <Characters>85380</Characters>
  <Application>Microsoft Office Word</Application>
  <DocSecurity>0</DocSecurity>
  <Lines>711</Lines>
  <Paragraphs>204</Paragraphs>
  <ScaleCrop>false</ScaleCrop>
  <HeadingPairs>
    <vt:vector size="2" baseType="variant">
      <vt:variant>
        <vt:lpstr>Title</vt:lpstr>
      </vt:variant>
      <vt:variant>
        <vt:i4>1</vt:i4>
      </vt:variant>
    </vt:vector>
  </HeadingPairs>
  <TitlesOfParts>
    <vt:vector size="1" baseType="lpstr">
      <vt:lpstr>Deripaska v Minister for Foreign Affairs [2025] FCAFC 36</vt:lpstr>
    </vt:vector>
  </TitlesOfParts>
  <Company>Federal Court of Australia</Company>
  <LinksUpToDate>false</LinksUpToDate>
  <CharactersWithSpaces>102118</CharactersWithSpaces>
  <SharedDoc>false</SharedDoc>
  <HLinks>
    <vt:vector size="36" baseType="variant">
      <vt:variant>
        <vt:i4>6815847</vt:i4>
      </vt:variant>
      <vt:variant>
        <vt:i4>39</vt:i4>
      </vt:variant>
      <vt:variant>
        <vt:i4>0</vt:i4>
      </vt:variant>
      <vt:variant>
        <vt:i4>5</vt:i4>
      </vt:variant>
      <vt:variant>
        <vt:lpwstr>https://advance.lexis.com/document/?pdmfid=1201008&amp;crid=5617387b-97b3-46cd-b69a-632a5ad3d5e8&amp;pddocfullpath=%2Fshared%2Fdocument%2Fcases-au%2Furn%3AcontentItem%3A5PDN-YDS1-F2MB-S2HW-00000-00&amp;pdcontentcomponentid=267702&amp;pdshepid=urn%3AcontentItem%3A5PDN-YDS1-F2MB-S2HW-00000-00&amp;pdteaserkey=sr0&amp;pdicsfeatureid=1517127&amp;pditab=allpods&amp;ecomp=hwtpk&amp;earg=sr0&amp;prid=4b6e0622-61a7-41e7-bf50-63fef02ce646</vt:lpwstr>
      </vt:variant>
      <vt:variant>
        <vt:lpwstr/>
      </vt:variant>
      <vt:variant>
        <vt:i4>786462</vt:i4>
      </vt:variant>
      <vt:variant>
        <vt:i4>33</vt:i4>
      </vt:variant>
      <vt:variant>
        <vt:i4>0</vt:i4>
      </vt:variant>
      <vt:variant>
        <vt:i4>5</vt:i4>
      </vt:variant>
      <vt:variant>
        <vt:lpwstr>https://jade.io/article/65422</vt:lpwstr>
      </vt:variant>
      <vt:variant>
        <vt:lpwstr/>
      </vt:variant>
      <vt:variant>
        <vt:i4>786462</vt:i4>
      </vt:variant>
      <vt:variant>
        <vt:i4>30</vt:i4>
      </vt:variant>
      <vt:variant>
        <vt:i4>0</vt:i4>
      </vt:variant>
      <vt:variant>
        <vt:i4>5</vt:i4>
      </vt:variant>
      <vt:variant>
        <vt:lpwstr>https://jade.io/article/65422</vt:lpwstr>
      </vt:variant>
      <vt:variant>
        <vt:lpwstr/>
      </vt:variant>
      <vt:variant>
        <vt:i4>2818147</vt:i4>
      </vt:variant>
      <vt:variant>
        <vt:i4>27</vt:i4>
      </vt:variant>
      <vt:variant>
        <vt:i4>0</vt:i4>
      </vt:variant>
      <vt:variant>
        <vt:i4>5</vt:i4>
      </vt:variant>
      <vt:variant>
        <vt:lpwstr>https://jade.io/article/216440/section/715</vt:lpwstr>
      </vt:variant>
      <vt:variant>
        <vt:lpwstr/>
      </vt:variant>
      <vt:variant>
        <vt:i4>4063276</vt:i4>
      </vt:variant>
      <vt:variant>
        <vt:i4>24</vt:i4>
      </vt:variant>
      <vt:variant>
        <vt:i4>0</vt:i4>
      </vt:variant>
      <vt:variant>
        <vt:i4>5</vt:i4>
      </vt:variant>
      <vt:variant>
        <vt:lpwstr>https://jade.io/article/216440</vt:lpwstr>
      </vt:variant>
      <vt:variant>
        <vt:lpwstr/>
      </vt:variant>
      <vt:variant>
        <vt:i4>4063276</vt:i4>
      </vt:variant>
      <vt:variant>
        <vt:i4>12</vt:i4>
      </vt:variant>
      <vt:variant>
        <vt:i4>0</vt:i4>
      </vt:variant>
      <vt:variant>
        <vt:i4>5</vt:i4>
      </vt:variant>
      <vt:variant>
        <vt:lpwstr>https://jade.io/article/216440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Deripaska v Minister for Foreign Affairs [2025] FCAFC 36</dc:title>
  <dc:subject/>
  <dc:creator>Sandra Casey</dc:creator>
  <cp:keywords/>
  <dc:description>v1.5</dc:description>
  <cp:lastModifiedBy>Sandra Casey</cp:lastModifiedBy>
  <cp:revision>3</cp:revision>
  <cp:lastPrinted>2025-03-19T01:56:00Z</cp:lastPrinted>
  <dcterms:created xsi:type="dcterms:W3CDTF">2025-03-26T23:26:00Z</dcterms:created>
  <dcterms:modified xsi:type="dcterms:W3CDTF">2025-03-26T23:29:00Z</dcterms:modified>
  <cp:version>v1.5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1.4</vt:lpwstr>
  </property>
  <property fmtid="{D5CDD505-2E9C-101B-9397-08002B2CF9AE}" pid="12" name="Registry">
    <vt:lpwstr>Western Australia</vt:lpwstr>
  </property>
  <property fmtid="{D5CDD505-2E9C-101B-9397-08002B2CF9AE}" pid="13" name="Division">
    <vt:lpwstr>Appeal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Deripaska v Minister for Foreign Affairs [2024] FCA 62</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