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410D" w14:textId="77777777" w:rsidR="0045067A" w:rsidRPr="0045067A" w:rsidRDefault="0045067A" w:rsidP="0045067A">
      <w:pPr>
        <w:spacing w:before="240" w:after="0" w:line="240" w:lineRule="auto"/>
        <w:jc w:val="center"/>
        <w:rPr>
          <w:rFonts w:eastAsia="Times New Roman" w:cs="Times New Roman"/>
          <w:b/>
          <w:i/>
          <w:color w:val="002060"/>
          <w:sz w:val="32"/>
          <w:szCs w:val="32"/>
          <w:lang w:eastAsia="en-AU"/>
        </w:rPr>
      </w:pPr>
      <w:r w:rsidRPr="0045067A">
        <w:rPr>
          <w:rFonts w:eastAsia="Times New Roman" w:cs="Times New Roman"/>
          <w:b/>
          <w:i/>
          <w:color w:val="002060"/>
          <w:sz w:val="32"/>
          <w:szCs w:val="32"/>
          <w:lang w:eastAsia="en-AU"/>
        </w:rPr>
        <w:t>Judicial Officers’ Fraud and Corruption Workshop</w:t>
      </w:r>
    </w:p>
    <w:p w14:paraId="4F716990" w14:textId="77777777" w:rsidR="0045067A" w:rsidRPr="0045067A" w:rsidRDefault="0045067A" w:rsidP="0045067A">
      <w:pPr>
        <w:spacing w:before="240" w:after="0" w:line="240" w:lineRule="auto"/>
        <w:jc w:val="center"/>
        <w:rPr>
          <w:rFonts w:eastAsia="Times New Roman" w:cs="Times New Roman"/>
          <w:b/>
          <w:color w:val="002060"/>
          <w:sz w:val="32"/>
          <w:szCs w:val="32"/>
          <w:lang w:eastAsia="en-AU"/>
        </w:rPr>
      </w:pPr>
      <w:r>
        <w:rPr>
          <w:rFonts w:eastAsia="Times New Roman" w:cs="Times New Roman"/>
          <w:b/>
          <w:color w:val="002060"/>
          <w:sz w:val="32"/>
          <w:szCs w:val="32"/>
          <w:lang w:eastAsia="en-AU"/>
        </w:rPr>
        <w:t>Samoa</w:t>
      </w:r>
    </w:p>
    <w:p w14:paraId="4CEB8AFC" w14:textId="77777777" w:rsidR="0045067A" w:rsidRPr="0045067A" w:rsidRDefault="0045067A" w:rsidP="0045067A">
      <w:pPr>
        <w:keepNext/>
        <w:pBdr>
          <w:bottom w:val="single" w:sz="4" w:space="1" w:color="44546A" w:themeColor="text2"/>
        </w:pBdr>
        <w:spacing w:before="120" w:after="120" w:line="240" w:lineRule="auto"/>
        <w:jc w:val="both"/>
        <w:outlineLvl w:val="0"/>
        <w:rPr>
          <w:rFonts w:eastAsia="Times New Roman" w:cs="Times New Roman"/>
          <w:lang w:eastAsia="en-AU"/>
        </w:rPr>
      </w:pPr>
      <w:r w:rsidRPr="0045067A">
        <w:rPr>
          <w:rFonts w:eastAsiaTheme="minorEastAsia" w:cs="Times New Roman"/>
          <w:b/>
          <w:color w:val="002060"/>
          <w:kern w:val="32"/>
          <w:sz w:val="28"/>
          <w:szCs w:val="28"/>
          <w:lang w:val="en-US"/>
        </w:rPr>
        <w:t xml:space="preserve">Table of Contents </w:t>
      </w:r>
    </w:p>
    <w:p w14:paraId="033FBEF1" w14:textId="77777777" w:rsidR="0045067A" w:rsidRPr="0045067A" w:rsidRDefault="00C5335E" w:rsidP="0045067A">
      <w:pPr>
        <w:spacing w:before="40" w:after="40" w:line="240" w:lineRule="auto"/>
        <w:rPr>
          <w:rFonts w:eastAsia="Times New Roman" w:cs="Times New Roman"/>
          <w:b/>
          <w:color w:val="002060"/>
          <w:lang w:eastAsia="en-AU"/>
        </w:rPr>
      </w:pPr>
      <w:hyperlink w:anchor="_Chapter_1:_Similarities" w:history="1">
        <w:r w:rsidR="0045067A" w:rsidRPr="00DD238F">
          <w:rPr>
            <w:rStyle w:val="Hyperlink"/>
            <w:rFonts w:eastAsia="Times New Roman" w:cs="Times New Roman"/>
            <w:b/>
            <w:lang w:eastAsia="en-AU"/>
          </w:rPr>
          <w:t>Chapter 1</w:t>
        </w:r>
      </w:hyperlink>
      <w:r w:rsidR="0045067A" w:rsidRPr="0045067A">
        <w:rPr>
          <w:rFonts w:eastAsia="Times New Roman" w:cs="Times New Roman"/>
          <w:b/>
          <w:color w:val="002060"/>
          <w:lang w:eastAsia="en-AU"/>
        </w:rPr>
        <w:t>: Similarities and difference of provisions across all jurisdictions</w:t>
      </w:r>
    </w:p>
    <w:p w14:paraId="3F8CCB6A" w14:textId="77777777" w:rsidR="0045067A" w:rsidRPr="0045067A" w:rsidRDefault="00C5335E" w:rsidP="0045067A">
      <w:pPr>
        <w:spacing w:before="40" w:after="40" w:line="240" w:lineRule="auto"/>
        <w:rPr>
          <w:rFonts w:eastAsia="Times New Roman" w:cs="Times New Roman"/>
          <w:b/>
          <w:color w:val="002060"/>
          <w:lang w:eastAsia="en-AU"/>
        </w:rPr>
      </w:pPr>
      <w:hyperlink w:anchor="_Chapter_2:_Samoa" w:history="1">
        <w:r w:rsidR="0045067A" w:rsidRPr="00DD238F">
          <w:rPr>
            <w:rStyle w:val="Hyperlink"/>
            <w:rFonts w:eastAsia="Times New Roman" w:cs="Times New Roman"/>
            <w:b/>
            <w:lang w:eastAsia="en-AU"/>
          </w:rPr>
          <w:t>Chapter 2</w:t>
        </w:r>
      </w:hyperlink>
      <w:r w:rsidR="0045067A" w:rsidRPr="0045067A">
        <w:rPr>
          <w:rFonts w:eastAsia="Times New Roman" w:cs="Times New Roman"/>
          <w:b/>
          <w:color w:val="002060"/>
          <w:lang w:eastAsia="en-AU"/>
        </w:rPr>
        <w:t xml:space="preserve">: </w:t>
      </w:r>
      <w:r w:rsidR="0045067A">
        <w:rPr>
          <w:rFonts w:eastAsia="Times New Roman" w:cs="Times New Roman"/>
          <w:b/>
          <w:color w:val="002060"/>
          <w:lang w:eastAsia="en-AU"/>
        </w:rPr>
        <w:t>Samoa</w:t>
      </w:r>
      <w:r w:rsidR="0045067A" w:rsidRPr="0045067A">
        <w:rPr>
          <w:rFonts w:eastAsia="Times New Roman" w:cs="Times New Roman"/>
          <w:b/>
          <w:color w:val="002060"/>
          <w:lang w:eastAsia="en-AU"/>
        </w:rPr>
        <w:t xml:space="preserve"> - Summary of Elements of the Offences</w:t>
      </w:r>
    </w:p>
    <w:p w14:paraId="17646D44" w14:textId="5673D590" w:rsidR="0045067A" w:rsidRPr="0045067A" w:rsidRDefault="00C5335E" w:rsidP="0045067A">
      <w:pPr>
        <w:spacing w:before="40" w:after="40" w:line="240" w:lineRule="auto"/>
        <w:rPr>
          <w:rFonts w:eastAsia="Times New Roman" w:cs="Times New Roman"/>
          <w:b/>
          <w:color w:val="002060"/>
          <w:lang w:eastAsia="en-AU"/>
        </w:rPr>
      </w:pPr>
      <w:hyperlink w:anchor="_Chapter_3:_Samoa" w:history="1">
        <w:r w:rsidR="0045067A" w:rsidRPr="003B37CE">
          <w:rPr>
            <w:rStyle w:val="Hyperlink"/>
            <w:rFonts w:eastAsia="Times New Roman" w:cs="Times New Roman"/>
            <w:b/>
            <w:lang w:eastAsia="en-AU"/>
          </w:rPr>
          <w:t>Chapter 3</w:t>
        </w:r>
      </w:hyperlink>
      <w:r w:rsidR="0045067A" w:rsidRPr="0045067A">
        <w:rPr>
          <w:rFonts w:eastAsia="Times New Roman" w:cs="Times New Roman"/>
          <w:b/>
          <w:color w:val="002060"/>
          <w:lang w:eastAsia="en-AU"/>
        </w:rPr>
        <w:t xml:space="preserve">: </w:t>
      </w:r>
      <w:r w:rsidR="0045067A">
        <w:rPr>
          <w:rFonts w:eastAsia="Times New Roman" w:cs="Times New Roman"/>
          <w:b/>
          <w:color w:val="002060"/>
          <w:lang w:eastAsia="en-AU"/>
        </w:rPr>
        <w:t>Samoa</w:t>
      </w:r>
      <w:r w:rsidR="0045067A" w:rsidRPr="0045067A">
        <w:rPr>
          <w:rFonts w:eastAsia="Times New Roman" w:cs="Times New Roman"/>
          <w:b/>
          <w:color w:val="002060"/>
          <w:lang w:eastAsia="en-AU"/>
        </w:rPr>
        <w:t xml:space="preserve"> </w:t>
      </w:r>
      <w:r>
        <w:rPr>
          <w:rFonts w:eastAsia="Times New Roman" w:cs="Times New Roman"/>
          <w:b/>
          <w:color w:val="002060"/>
          <w:lang w:eastAsia="en-AU"/>
        </w:rPr>
        <w:t>-</w:t>
      </w:r>
      <w:r w:rsidR="0045067A" w:rsidRPr="0045067A">
        <w:rPr>
          <w:rFonts w:eastAsia="Times New Roman" w:cs="Times New Roman"/>
          <w:b/>
          <w:color w:val="002060"/>
          <w:lang w:eastAsia="en-AU"/>
        </w:rPr>
        <w:t xml:space="preserve"> Elements of the Defences</w:t>
      </w:r>
    </w:p>
    <w:p w14:paraId="02C08653" w14:textId="77777777" w:rsidR="0045067A" w:rsidRPr="0045067A" w:rsidRDefault="00C5335E" w:rsidP="0045067A">
      <w:pPr>
        <w:spacing w:before="40" w:after="40" w:line="240" w:lineRule="auto"/>
        <w:rPr>
          <w:rFonts w:eastAsia="Times New Roman" w:cs="Times New Roman"/>
          <w:b/>
          <w:color w:val="002060"/>
          <w:lang w:eastAsia="en-AU"/>
        </w:rPr>
      </w:pPr>
      <w:hyperlink w:anchor="_Chapter_4:_Evidentiary" w:history="1">
        <w:r w:rsidR="0045067A" w:rsidRPr="003B37CE">
          <w:rPr>
            <w:rStyle w:val="Hyperlink"/>
            <w:rFonts w:eastAsia="Times New Roman" w:cs="Times New Roman"/>
            <w:b/>
            <w:lang w:eastAsia="en-AU"/>
          </w:rPr>
          <w:t>Chapter 4</w:t>
        </w:r>
      </w:hyperlink>
      <w:r w:rsidR="0045067A" w:rsidRPr="0045067A">
        <w:rPr>
          <w:rFonts w:eastAsia="Times New Roman" w:cs="Times New Roman"/>
          <w:b/>
          <w:color w:val="002060"/>
          <w:lang w:eastAsia="en-AU"/>
        </w:rPr>
        <w:t>: Evidentiary issues</w:t>
      </w:r>
    </w:p>
    <w:p w14:paraId="2EEDCF9B" w14:textId="77777777" w:rsidR="0045067A" w:rsidRPr="0045067A" w:rsidRDefault="0045067A" w:rsidP="0045067A">
      <w:pPr>
        <w:spacing w:before="40" w:after="40" w:line="240" w:lineRule="auto"/>
        <w:ind w:firstLine="720"/>
        <w:rPr>
          <w:rFonts w:eastAsia="Times New Roman" w:cs="Times New Roman"/>
          <w:b/>
          <w:color w:val="002060"/>
          <w:lang w:eastAsia="en-AU"/>
        </w:rPr>
      </w:pPr>
      <w:r w:rsidRPr="0045067A">
        <w:rPr>
          <w:rFonts w:eastAsia="Times New Roman" w:cs="Times New Roman"/>
          <w:b/>
          <w:color w:val="002060"/>
          <w:u w:val="single"/>
          <w:lang w:eastAsia="en-AU"/>
        </w:rPr>
        <w:t>Annex A</w:t>
      </w:r>
      <w:r w:rsidRPr="0045067A">
        <w:rPr>
          <w:rFonts w:eastAsia="Times New Roman" w:cs="Times New Roman"/>
          <w:b/>
          <w:color w:val="002060"/>
          <w:lang w:eastAsia="en-AU"/>
        </w:rPr>
        <w:t xml:space="preserve">: Offence provision/s by jurisdictions </w:t>
      </w:r>
    </w:p>
    <w:p w14:paraId="744242A7" w14:textId="77777777" w:rsidR="0045067A" w:rsidRPr="0045067A" w:rsidRDefault="0045067A" w:rsidP="0045067A">
      <w:pPr>
        <w:spacing w:before="40" w:after="40" w:line="240" w:lineRule="auto"/>
        <w:ind w:firstLine="709"/>
        <w:rPr>
          <w:rFonts w:eastAsia="Times New Roman" w:cs="Times New Roman"/>
          <w:b/>
          <w:color w:val="002060"/>
          <w:lang w:eastAsia="en-AU"/>
        </w:rPr>
      </w:pPr>
      <w:r w:rsidRPr="0045067A">
        <w:rPr>
          <w:rFonts w:eastAsia="Times New Roman" w:cs="Times New Roman"/>
          <w:b/>
          <w:color w:val="002060"/>
          <w:u w:val="single"/>
          <w:lang w:eastAsia="en-AU"/>
        </w:rPr>
        <w:t>Annex B</w:t>
      </w:r>
      <w:r w:rsidRPr="0045067A">
        <w:rPr>
          <w:rFonts w:eastAsia="Times New Roman" w:cs="Times New Roman"/>
          <w:b/>
          <w:color w:val="002060"/>
          <w:lang w:eastAsia="en-AU"/>
        </w:rPr>
        <w:t>: Evidence provision/s and rules by jurisdictions</w:t>
      </w:r>
    </w:p>
    <w:p w14:paraId="2D03ED3E" w14:textId="77777777" w:rsidR="0045067A" w:rsidRPr="0045067A" w:rsidRDefault="0045067A" w:rsidP="0045067A">
      <w:pPr>
        <w:spacing w:before="40" w:after="40" w:line="240" w:lineRule="auto"/>
        <w:rPr>
          <w:rFonts w:eastAsia="Times New Roman" w:cs="Times New Roman"/>
          <w:b/>
          <w:color w:val="002060"/>
          <w:sz w:val="24"/>
          <w:szCs w:val="24"/>
          <w:lang w:eastAsia="en-AU"/>
        </w:rPr>
      </w:pPr>
    </w:p>
    <w:p w14:paraId="0AB11EA5" w14:textId="77777777" w:rsidR="0045067A" w:rsidRPr="00861D13" w:rsidRDefault="0045067A" w:rsidP="00861D13">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0" w:name="_Chapter_1:_Similarities"/>
      <w:bookmarkEnd w:id="0"/>
      <w:r w:rsidRPr="00861D13">
        <w:rPr>
          <w:rFonts w:asciiTheme="minorHAnsi" w:eastAsiaTheme="minorEastAsia" w:hAnsiTheme="minorHAnsi" w:cs="Times New Roman"/>
          <w:bCs w:val="0"/>
          <w:color w:val="002060"/>
          <w:kern w:val="32"/>
          <w:sz w:val="28"/>
          <w:szCs w:val="28"/>
          <w:lang w:val="en-US" w:eastAsia="en-US"/>
        </w:rPr>
        <w:t>Chapter 1: Similarities and differences of provisions across all jurisdictions</w:t>
      </w:r>
    </w:p>
    <w:p w14:paraId="47F15F7B" w14:textId="77777777" w:rsidR="0045067A" w:rsidRPr="0045067A" w:rsidRDefault="0045067A" w:rsidP="0045067A">
      <w:pPr>
        <w:spacing w:after="0" w:line="240" w:lineRule="auto"/>
        <w:jc w:val="both"/>
        <w:rPr>
          <w:rFonts w:eastAsia="Times New Roman" w:cs="Times New Roman"/>
          <w:lang w:eastAsia="en-AU"/>
        </w:rPr>
      </w:pPr>
      <w:r w:rsidRPr="0045067A">
        <w:rPr>
          <w:rFonts w:eastAsia="Times New Roman" w:cs="Times New Roman"/>
          <w:lang w:eastAsia="en-AU"/>
        </w:rPr>
        <w:t>This chapter outlines the similarities and differences between fraud and corruption offences across PJIP partner court jurisdictions. The two most prevalent fraud and corruption offence categories defined by the region</w:t>
      </w:r>
      <w:r w:rsidRPr="0045067A">
        <w:rPr>
          <w:rFonts w:eastAsia="Times New Roman" w:cs="Times New Roman"/>
          <w:vertAlign w:val="superscript"/>
          <w:lang w:eastAsia="en-AU"/>
        </w:rPr>
        <w:footnoteReference w:id="1"/>
      </w:r>
      <w:r w:rsidRPr="0045067A">
        <w:rPr>
          <w:rFonts w:eastAsia="Times New Roman" w:cs="Times New Roman"/>
          <w:lang w:eastAsia="en-AU"/>
        </w:rPr>
        <w:t xml:space="preserve"> are: fraud and bribery.</w:t>
      </w:r>
    </w:p>
    <w:p w14:paraId="11E8CCB9" w14:textId="77777777" w:rsidR="0045067A" w:rsidRPr="00861D13" w:rsidRDefault="0045067A" w:rsidP="0045067A">
      <w:pPr>
        <w:keepNext/>
        <w:pBdr>
          <w:bottom w:val="single" w:sz="4" w:space="1" w:color="44546A" w:themeColor="text2"/>
        </w:pBdr>
        <w:spacing w:before="120" w:after="120" w:line="240" w:lineRule="auto"/>
        <w:outlineLvl w:val="0"/>
        <w:rPr>
          <w:rFonts w:eastAsiaTheme="minorEastAsia" w:cs="Times New Roman"/>
          <w:b/>
          <w:i/>
          <w:color w:val="002060"/>
          <w:kern w:val="32"/>
          <w:sz w:val="28"/>
          <w:szCs w:val="28"/>
          <w:lang w:val="en-US"/>
        </w:rPr>
      </w:pPr>
      <w:r w:rsidRPr="00861D13">
        <w:rPr>
          <w:rFonts w:eastAsiaTheme="minorEastAsia" w:cs="Times New Roman"/>
          <w:b/>
          <w:i/>
          <w:color w:val="002060"/>
          <w:kern w:val="32"/>
          <w:sz w:val="28"/>
          <w:szCs w:val="28"/>
          <w:lang w:val="en-US"/>
        </w:rPr>
        <w:t>Fraud</w:t>
      </w:r>
    </w:p>
    <w:p w14:paraId="2B02A349" w14:textId="77777777" w:rsidR="0045067A" w:rsidRPr="0045067A" w:rsidRDefault="0045067A" w:rsidP="0045067A">
      <w:pPr>
        <w:spacing w:after="0" w:line="240" w:lineRule="auto"/>
        <w:jc w:val="both"/>
        <w:rPr>
          <w:rFonts w:eastAsia="Times New Roman" w:cs="Times New Roman"/>
          <w:lang w:eastAsia="en-AU"/>
        </w:rPr>
      </w:pPr>
      <w:r w:rsidRPr="0045067A">
        <w:rPr>
          <w:rFonts w:eastAsia="Times New Roman" w:cs="Times New Roman"/>
          <w:lang w:eastAsia="en-AU"/>
        </w:rPr>
        <w:t>In most jurisdictions, the Fraud regime is complex and there is significant overlap with various other provisions. The provisions annexed below are those with which a public officer could be charged, who embezzled public funds. Six jurisdictions (</w:t>
      </w:r>
      <w:r w:rsidRPr="0045067A">
        <w:rPr>
          <w:rFonts w:eastAsia="Times New Roman" w:cs="Times New Roman"/>
          <w:color w:val="000000" w:themeColor="text1"/>
          <w:lang w:eastAsia="en-AU"/>
        </w:rPr>
        <w:t xml:space="preserve">Fiji, Kiribati, Nauru, Republic of Marshall Islands, Solomon Islands, and Tonga) have provisions that specifically target fraud or embezzlement by public servants. In the other six jurisdictions, recourse must be had to general provisions (present in all jurisdictions) dealing with fraudulent misappropriation of property. These offences may be variously referred to as “theft”, “cheating”, “obtaining by false pretences”, “obtaining by deception”, or “fraudulent conversion”. Palau </w:t>
      </w:r>
      <w:r w:rsidRPr="0045067A">
        <w:rPr>
          <w:rFonts w:eastAsia="Times New Roman" w:cs="Times New Roman"/>
          <w:lang w:eastAsia="en-AU"/>
        </w:rPr>
        <w:t>is the only jurisdiction to have a specific offence of theft of government property that can be committed by a private individual.</w:t>
      </w:r>
    </w:p>
    <w:p w14:paraId="1F3EE556" w14:textId="77777777" w:rsidR="0045067A" w:rsidRPr="0045067A" w:rsidRDefault="0045067A" w:rsidP="0045067A">
      <w:pPr>
        <w:spacing w:after="0" w:line="240" w:lineRule="auto"/>
        <w:jc w:val="both"/>
        <w:rPr>
          <w:rFonts w:eastAsia="Times New Roman" w:cs="Times New Roman"/>
          <w:lang w:eastAsia="en-AU"/>
        </w:rPr>
      </w:pPr>
    </w:p>
    <w:p w14:paraId="4AF0E876" w14:textId="77777777" w:rsidR="0045067A" w:rsidRPr="0045067A" w:rsidRDefault="0045067A" w:rsidP="0045067A">
      <w:pPr>
        <w:spacing w:after="0" w:line="240" w:lineRule="auto"/>
        <w:jc w:val="both"/>
        <w:rPr>
          <w:rFonts w:eastAsia="Times New Roman" w:cs="Times New Roman"/>
          <w:lang w:eastAsia="en-AU"/>
        </w:rPr>
      </w:pPr>
      <w:r w:rsidRPr="0045067A">
        <w:rPr>
          <w:rFonts w:eastAsia="Times New Roman" w:cs="Times New Roman"/>
          <w:lang w:eastAsia="en-AU"/>
        </w:rPr>
        <w:t xml:space="preserve">Kiribati and Solomon Islands have identical provisions dealing with the following: </w:t>
      </w:r>
    </w:p>
    <w:p w14:paraId="1712D701" w14:textId="77777777" w:rsidR="0045067A" w:rsidRPr="0045067A" w:rsidRDefault="0045067A" w:rsidP="0045067A">
      <w:pPr>
        <w:numPr>
          <w:ilvl w:val="0"/>
          <w:numId w:val="3"/>
        </w:numPr>
        <w:spacing w:after="0" w:line="240" w:lineRule="auto"/>
        <w:contextualSpacing/>
        <w:jc w:val="both"/>
        <w:rPr>
          <w:rFonts w:ascii="Calibri" w:eastAsia="Times New Roman" w:hAnsi="Calibri" w:cs="Times New Roman"/>
          <w:lang w:eastAsia="en-AU"/>
        </w:rPr>
      </w:pPr>
      <w:r w:rsidRPr="0045067A">
        <w:rPr>
          <w:rFonts w:ascii="Calibri" w:eastAsia="Times New Roman" w:hAnsi="Calibri" w:cs="Times New Roman"/>
          <w:lang w:eastAsia="en-AU"/>
        </w:rPr>
        <w:t>Frauds and breaches of trust by persons employed in the public service</w:t>
      </w:r>
      <w:r w:rsidRPr="0045067A">
        <w:rPr>
          <w:rFonts w:ascii="Calibri" w:eastAsia="Times New Roman" w:hAnsi="Calibri" w:cs="Times New Roman"/>
          <w:vertAlign w:val="superscript"/>
          <w:lang w:eastAsia="en-AU"/>
        </w:rPr>
        <w:footnoteReference w:id="2"/>
      </w:r>
    </w:p>
    <w:p w14:paraId="48CEF690" w14:textId="77777777" w:rsidR="0045067A" w:rsidRPr="0045067A" w:rsidRDefault="0045067A" w:rsidP="0045067A">
      <w:pPr>
        <w:numPr>
          <w:ilvl w:val="0"/>
          <w:numId w:val="3"/>
        </w:numPr>
        <w:spacing w:after="0" w:line="240" w:lineRule="auto"/>
        <w:contextualSpacing/>
        <w:jc w:val="both"/>
        <w:rPr>
          <w:rFonts w:ascii="Calibri" w:eastAsia="Times New Roman" w:hAnsi="Calibri" w:cs="Times New Roman"/>
          <w:lang w:eastAsia="en-AU"/>
        </w:rPr>
      </w:pPr>
      <w:r w:rsidRPr="0045067A">
        <w:rPr>
          <w:rFonts w:ascii="Calibri" w:eastAsia="Times New Roman" w:hAnsi="Calibri" w:cs="Times New Roman"/>
          <w:lang w:eastAsia="en-AU"/>
        </w:rPr>
        <w:t>Theft, including taking by trickery or despite knowledge of a mistake on the part of the person defrauded</w:t>
      </w:r>
    </w:p>
    <w:p w14:paraId="46D5CACD" w14:textId="77777777" w:rsidR="0045067A" w:rsidRPr="0045067A" w:rsidRDefault="0045067A" w:rsidP="0045067A">
      <w:pPr>
        <w:numPr>
          <w:ilvl w:val="0"/>
          <w:numId w:val="3"/>
        </w:numPr>
        <w:spacing w:after="0" w:line="240" w:lineRule="auto"/>
        <w:contextualSpacing/>
        <w:jc w:val="both"/>
        <w:rPr>
          <w:rFonts w:ascii="Calibri" w:eastAsia="Times New Roman" w:hAnsi="Calibri" w:cs="Times New Roman"/>
          <w:lang w:eastAsia="en-AU"/>
        </w:rPr>
      </w:pPr>
      <w:r w:rsidRPr="0045067A">
        <w:rPr>
          <w:rFonts w:ascii="Calibri" w:eastAsia="Times New Roman" w:hAnsi="Calibri" w:cs="Times New Roman"/>
          <w:lang w:eastAsia="en-AU"/>
        </w:rPr>
        <w:t>Larceny and embezzlement by public servants</w:t>
      </w:r>
    </w:p>
    <w:p w14:paraId="12D2082C" w14:textId="77777777" w:rsidR="0045067A" w:rsidRPr="0045067A" w:rsidRDefault="0045067A" w:rsidP="0045067A">
      <w:pPr>
        <w:numPr>
          <w:ilvl w:val="0"/>
          <w:numId w:val="3"/>
        </w:numPr>
        <w:spacing w:after="0" w:line="240" w:lineRule="auto"/>
        <w:contextualSpacing/>
        <w:jc w:val="both"/>
        <w:rPr>
          <w:rFonts w:ascii="Calibri" w:eastAsia="Times New Roman" w:hAnsi="Calibri" w:cs="Times New Roman"/>
          <w:lang w:eastAsia="en-AU"/>
        </w:rPr>
      </w:pPr>
      <w:r w:rsidRPr="0045067A">
        <w:rPr>
          <w:rFonts w:ascii="Calibri" w:eastAsia="Times New Roman" w:hAnsi="Calibri" w:cs="Times New Roman"/>
          <w:lang w:eastAsia="en-AU"/>
        </w:rPr>
        <w:t>Obtaining by false pretences</w:t>
      </w:r>
    </w:p>
    <w:p w14:paraId="1E903077" w14:textId="77777777" w:rsidR="0045067A" w:rsidRPr="0045067A" w:rsidRDefault="0045067A" w:rsidP="0045067A">
      <w:pPr>
        <w:spacing w:after="0" w:line="240" w:lineRule="auto"/>
        <w:jc w:val="both"/>
        <w:rPr>
          <w:rFonts w:eastAsia="Times New Roman" w:cs="Times New Roman"/>
          <w:lang w:eastAsia="en-AU"/>
        </w:rPr>
      </w:pPr>
    </w:p>
    <w:p w14:paraId="1CA00CB7" w14:textId="77777777" w:rsidR="0045067A" w:rsidRPr="0045067A" w:rsidRDefault="00C5335E" w:rsidP="0045067A">
      <w:pPr>
        <w:spacing w:after="0" w:line="240" w:lineRule="auto"/>
        <w:jc w:val="both"/>
        <w:rPr>
          <w:rFonts w:eastAsia="Times New Roman" w:cs="Times New Roman"/>
          <w:lang w:eastAsia="en-AU"/>
        </w:rPr>
      </w:pPr>
      <w:hyperlink w:anchor="FraudVanuatu" w:history="1">
        <w:r w:rsidR="0045067A" w:rsidRPr="0045067A">
          <w:rPr>
            <w:rFonts w:eastAsia="Times New Roman" w:cs="Times New Roman"/>
            <w:color w:val="000000" w:themeColor="text1"/>
            <w:lang w:eastAsia="en-AU"/>
          </w:rPr>
          <w:t>Vanuatu</w:t>
        </w:r>
      </w:hyperlink>
      <w:r w:rsidR="0045067A" w:rsidRPr="0045067A">
        <w:rPr>
          <w:rFonts w:eastAsia="Times New Roman" w:cs="Times New Roman"/>
          <w:b/>
          <w:color w:val="000000" w:themeColor="text1"/>
          <w:lang w:eastAsia="en-AU"/>
        </w:rPr>
        <w:t xml:space="preserve"> </w:t>
      </w:r>
      <w:r w:rsidR="0045067A" w:rsidRPr="0045067A">
        <w:rPr>
          <w:rFonts w:eastAsia="Times New Roman" w:cs="Times New Roman"/>
          <w:lang w:eastAsia="en-AU"/>
        </w:rPr>
        <w:t>has provisions dealing with theft and obtaining by false pretences which are substantially similar to those in the three aforementioned jurisdictions. However, it lacks any provisions dealing specifically with frauds by public servants. The other eight jurisdictions have substantially different regimes.</w:t>
      </w:r>
    </w:p>
    <w:p w14:paraId="431486E5" w14:textId="77777777" w:rsidR="0045067A" w:rsidRPr="0045067A" w:rsidRDefault="0045067A" w:rsidP="0045067A">
      <w:pPr>
        <w:spacing w:after="0" w:line="240" w:lineRule="auto"/>
        <w:jc w:val="both"/>
        <w:rPr>
          <w:rFonts w:eastAsia="Times New Roman" w:cs="Times New Roman"/>
          <w:lang w:eastAsia="en-AU"/>
        </w:rPr>
      </w:pPr>
    </w:p>
    <w:p w14:paraId="0587E4CC" w14:textId="77777777" w:rsidR="0045067A" w:rsidRPr="0045067A" w:rsidRDefault="0045067A" w:rsidP="0045067A">
      <w:pPr>
        <w:spacing w:after="0" w:line="240" w:lineRule="auto"/>
        <w:jc w:val="both"/>
        <w:rPr>
          <w:rFonts w:eastAsia="Times New Roman" w:cs="Times New Roman"/>
          <w:lang w:eastAsia="en-AU"/>
        </w:rPr>
      </w:pPr>
      <w:r w:rsidRPr="0045067A">
        <w:rPr>
          <w:rFonts w:eastAsia="Times New Roman" w:cs="Times New Roman"/>
          <w:lang w:eastAsia="en-AU"/>
        </w:rPr>
        <w:lastRenderedPageBreak/>
        <w:t>There is a degree of practical commonality among the fraudulent misappropriation or theft offences in all jurisdictions. There are three main elements of which most jurisdictions include at least two. These are that the taking of a thing is done:</w:t>
      </w:r>
    </w:p>
    <w:p w14:paraId="49612546" w14:textId="77777777" w:rsidR="0045067A" w:rsidRPr="0045067A" w:rsidRDefault="0045067A" w:rsidP="0045067A">
      <w:pPr>
        <w:numPr>
          <w:ilvl w:val="0"/>
          <w:numId w:val="4"/>
        </w:numPr>
        <w:spacing w:after="0" w:line="240" w:lineRule="auto"/>
        <w:contextualSpacing/>
        <w:jc w:val="both"/>
        <w:rPr>
          <w:rFonts w:ascii="Calibri" w:eastAsia="Times New Roman" w:hAnsi="Calibri" w:cs="Times New Roman"/>
          <w:lang w:eastAsia="en-AU"/>
        </w:rPr>
      </w:pPr>
      <w:r w:rsidRPr="0045067A">
        <w:rPr>
          <w:rFonts w:ascii="Calibri" w:eastAsia="Times New Roman" w:hAnsi="Calibri" w:cs="Times New Roman"/>
          <w:lang w:eastAsia="en-AU"/>
        </w:rPr>
        <w:t>Dishonestly, or by fraud or deceit;</w:t>
      </w:r>
    </w:p>
    <w:p w14:paraId="2EDFCCFE" w14:textId="77777777" w:rsidR="0045067A" w:rsidRPr="0045067A" w:rsidRDefault="0045067A" w:rsidP="0045067A">
      <w:pPr>
        <w:numPr>
          <w:ilvl w:val="0"/>
          <w:numId w:val="4"/>
        </w:numPr>
        <w:spacing w:after="0" w:line="240" w:lineRule="auto"/>
        <w:contextualSpacing/>
        <w:jc w:val="both"/>
        <w:rPr>
          <w:rFonts w:ascii="Calibri" w:eastAsia="Times New Roman" w:hAnsi="Calibri" w:cs="Times New Roman"/>
          <w:lang w:eastAsia="en-AU"/>
        </w:rPr>
      </w:pPr>
      <w:r w:rsidRPr="0045067A">
        <w:rPr>
          <w:rFonts w:ascii="Calibri" w:eastAsia="Times New Roman" w:hAnsi="Calibri" w:cs="Times New Roman"/>
          <w:lang w:eastAsia="en-AU"/>
        </w:rPr>
        <w:t>Without a good faith claim of right (some jurisdictions (Federated States of Micronesia, Fiji, and Nauru) merely include the weaker proposition that the property belongs to another); and</w:t>
      </w:r>
    </w:p>
    <w:p w14:paraId="5AC7E897" w14:textId="77777777" w:rsidR="0045067A" w:rsidRPr="0045067A" w:rsidRDefault="0045067A" w:rsidP="0045067A">
      <w:pPr>
        <w:numPr>
          <w:ilvl w:val="0"/>
          <w:numId w:val="4"/>
        </w:numPr>
        <w:spacing w:after="0" w:line="240" w:lineRule="auto"/>
        <w:contextualSpacing/>
        <w:jc w:val="both"/>
        <w:rPr>
          <w:rFonts w:ascii="Calibri" w:eastAsia="Times New Roman" w:hAnsi="Calibri" w:cs="Times New Roman"/>
          <w:lang w:eastAsia="en-AU"/>
        </w:rPr>
      </w:pPr>
      <w:r w:rsidRPr="0045067A">
        <w:rPr>
          <w:rFonts w:ascii="Calibri" w:eastAsia="Times New Roman" w:hAnsi="Calibri" w:cs="Times New Roman"/>
          <w:lang w:eastAsia="en-AU"/>
        </w:rPr>
        <w:t xml:space="preserve">With intent to permanently deprive the owner of the thing. </w:t>
      </w:r>
    </w:p>
    <w:p w14:paraId="4232CB29" w14:textId="77777777" w:rsidR="0045067A" w:rsidRPr="0045067A" w:rsidRDefault="0045067A" w:rsidP="0045067A">
      <w:pPr>
        <w:spacing w:after="0" w:line="240" w:lineRule="auto"/>
        <w:jc w:val="both"/>
        <w:rPr>
          <w:rFonts w:eastAsia="Times New Roman" w:cs="Times New Roman"/>
          <w:sz w:val="23"/>
          <w:szCs w:val="24"/>
          <w:lang w:eastAsia="en-AU"/>
        </w:rPr>
      </w:pPr>
      <w:r w:rsidRPr="0045067A">
        <w:rPr>
          <w:rFonts w:eastAsia="Times New Roman" w:cs="Times New Roman"/>
          <w:lang w:eastAsia="en-AU"/>
        </w:rPr>
        <w:t>Kiribati, Nauru, Solomon Islands, Tonga and Vanuatu include all three elements; Palau, Republic of Marshall Islands</w:t>
      </w:r>
      <w:r w:rsidRPr="0045067A">
        <w:rPr>
          <w:rFonts w:eastAsia="Times New Roman" w:cs="Times New Roman"/>
          <w:color w:val="000000" w:themeColor="text1"/>
          <w:lang w:eastAsia="en-AU"/>
        </w:rPr>
        <w:t xml:space="preserve">, Samoa and Tokelau include the first and third; and </w:t>
      </w:r>
      <w:r w:rsidRPr="0045067A">
        <w:rPr>
          <w:rFonts w:eastAsia="Times New Roman" w:cstheme="minorHAnsi"/>
          <w:color w:val="000000" w:themeColor="text1"/>
          <w:lang w:eastAsia="en-AU"/>
        </w:rPr>
        <w:t>Papua New Guinea</w:t>
      </w:r>
      <w:r w:rsidRPr="0045067A">
        <w:rPr>
          <w:rFonts w:eastAsia="Times New Roman" w:cs="Times New Roman"/>
          <w:color w:val="000000" w:themeColor="text1"/>
          <w:lang w:eastAsia="en-AU"/>
        </w:rPr>
        <w:t xml:space="preserve"> and Federated States of Micronesia inc</w:t>
      </w:r>
      <w:r w:rsidRPr="0045067A">
        <w:rPr>
          <w:rFonts w:eastAsia="Times New Roman" w:cs="Times New Roman"/>
          <w:lang w:eastAsia="en-AU"/>
        </w:rPr>
        <w:t>lude the second and third.</w:t>
      </w:r>
    </w:p>
    <w:p w14:paraId="31A8C9B9" w14:textId="77777777" w:rsidR="0045067A" w:rsidRPr="007A6EFD" w:rsidRDefault="0045067A" w:rsidP="0045067A">
      <w:pPr>
        <w:keepNext/>
        <w:pBdr>
          <w:bottom w:val="single" w:sz="4" w:space="1" w:color="44546A" w:themeColor="text2"/>
        </w:pBdr>
        <w:spacing w:before="120" w:after="120" w:line="240" w:lineRule="auto"/>
        <w:ind w:left="709" w:hanging="709"/>
        <w:outlineLvl w:val="0"/>
        <w:rPr>
          <w:rFonts w:eastAsiaTheme="minorEastAsia" w:cs="Times New Roman"/>
          <w:b/>
          <w:i/>
          <w:color w:val="002060"/>
          <w:kern w:val="32"/>
          <w:sz w:val="28"/>
          <w:szCs w:val="28"/>
          <w:lang w:val="en-US"/>
        </w:rPr>
      </w:pPr>
      <w:r w:rsidRPr="007A6EFD">
        <w:rPr>
          <w:rFonts w:eastAsiaTheme="minorEastAsia" w:cs="Times New Roman"/>
          <w:b/>
          <w:i/>
          <w:color w:val="002060"/>
          <w:kern w:val="32"/>
          <w:sz w:val="28"/>
          <w:szCs w:val="28"/>
          <w:lang w:val="en-US"/>
        </w:rPr>
        <w:t>Bribery</w:t>
      </w:r>
    </w:p>
    <w:p w14:paraId="334F9247" w14:textId="77777777" w:rsidR="0045067A" w:rsidRPr="0045067A" w:rsidRDefault="0045067A" w:rsidP="0045067A">
      <w:pPr>
        <w:spacing w:after="0" w:line="240" w:lineRule="auto"/>
        <w:jc w:val="both"/>
        <w:rPr>
          <w:rFonts w:eastAsia="Times New Roman" w:cstheme="minorHAnsi"/>
          <w:lang w:eastAsia="en-AU"/>
        </w:rPr>
      </w:pPr>
      <w:r w:rsidRPr="0045067A">
        <w:rPr>
          <w:rFonts w:eastAsia="Times New Roman" w:cstheme="minorHAnsi"/>
          <w:color w:val="000000" w:themeColor="text1"/>
          <w:lang w:eastAsia="en-AU"/>
        </w:rPr>
        <w:t xml:space="preserve">All jurisdictions except Nauru focus on bribery in official and political matters, with relevant bribery being bribery of public officials to act in a certain way in the course of their official duties. Nauru, by contrast, focuses on the dishonest provision/receipt of a bribe with the intention of gaining/providing a favour.  All jurisdictions address both directions of bribery, that is, provision and receipt. Papua New Guinea and Fiji both have provisions that address bribery of judicial officials. The most detailed provision is that in the Marshall Islands. </w:t>
      </w:r>
      <w:r w:rsidRPr="0045067A">
        <w:rPr>
          <w:rFonts w:eastAsia="Times New Roman" w:cstheme="minorHAnsi"/>
          <w:lang w:eastAsia="en-AU"/>
        </w:rPr>
        <w:t>Fiji also has specific bribery legislation.</w:t>
      </w:r>
      <w:r w:rsidRPr="0045067A">
        <w:rPr>
          <w:rFonts w:eastAsia="Times New Roman" w:cstheme="minorHAnsi"/>
          <w:vertAlign w:val="superscript"/>
          <w:lang w:eastAsia="en-AU"/>
        </w:rPr>
        <w:footnoteReference w:id="3"/>
      </w:r>
    </w:p>
    <w:p w14:paraId="0EAB7FFE" w14:textId="77777777" w:rsidR="0045067A" w:rsidRPr="0045067A" w:rsidRDefault="0045067A" w:rsidP="0045067A">
      <w:pPr>
        <w:keepNext/>
        <w:pBdr>
          <w:bottom w:val="single" w:sz="4" w:space="1" w:color="44546A" w:themeColor="text2"/>
        </w:pBdr>
        <w:spacing w:before="120" w:after="120" w:line="240" w:lineRule="auto"/>
        <w:ind w:left="709" w:hanging="709"/>
        <w:jc w:val="both"/>
        <w:outlineLvl w:val="0"/>
        <w:rPr>
          <w:rFonts w:eastAsiaTheme="minorEastAsia" w:cs="Times New Roman"/>
          <w:b/>
          <w:smallCaps/>
          <w:kern w:val="32"/>
          <w:lang w:val="en-US"/>
        </w:rPr>
      </w:pPr>
      <w:r w:rsidRPr="0045067A">
        <w:rPr>
          <w:rFonts w:eastAsiaTheme="minorEastAsia" w:cs="Times New Roman"/>
          <w:b/>
          <w:color w:val="002060"/>
          <w:kern w:val="32"/>
          <w:sz w:val="28"/>
          <w:szCs w:val="28"/>
          <w:lang w:val="en-US"/>
        </w:rPr>
        <w:t>Offence provision/s by jurisdictions</w:t>
      </w:r>
    </w:p>
    <w:p w14:paraId="6459F0B6" w14:textId="77777777" w:rsidR="0045067A" w:rsidRPr="0045067A" w:rsidRDefault="0045067A" w:rsidP="0045067A">
      <w:pPr>
        <w:spacing w:after="0" w:line="240" w:lineRule="auto"/>
        <w:rPr>
          <w:rFonts w:eastAsia="Times New Roman" w:cs="Times New Roman"/>
          <w:lang w:eastAsia="en-AU"/>
        </w:rPr>
      </w:pPr>
      <w:r w:rsidRPr="0045067A">
        <w:rPr>
          <w:rFonts w:eastAsia="Times New Roman" w:cs="Times New Roman"/>
          <w:lang w:eastAsia="en-AU"/>
        </w:rPr>
        <w:t xml:space="preserve">Unless otherwise specified, all references to statutory provisions are to the following Crimes Acts: </w:t>
      </w:r>
    </w:p>
    <w:p w14:paraId="31AC01B6" w14:textId="77777777" w:rsidR="00A2241E" w:rsidRPr="00270FBB" w:rsidRDefault="00A2241E" w:rsidP="00A2241E">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Federated States of Micronesia: </w:t>
      </w:r>
      <w:hyperlink r:id="rId7" w:history="1">
        <w:r w:rsidRPr="00270FBB">
          <w:rPr>
            <w:rStyle w:val="Hyperlink"/>
            <w:rFonts w:eastAsia="Times New Roman"/>
            <w:i/>
            <w:iCs/>
            <w:lang w:eastAsia="en-AU"/>
          </w:rPr>
          <w:t xml:space="preserve">Code of the Federated States of Micronesia </w:t>
        </w:r>
      </w:hyperlink>
      <w:r w:rsidRPr="00270FBB">
        <w:rPr>
          <w:rFonts w:eastAsia="Times New Roman"/>
          <w:lang w:eastAsia="en-AU"/>
        </w:rPr>
        <w:t xml:space="preserve">; </w:t>
      </w:r>
    </w:p>
    <w:p w14:paraId="2ECA78C3" w14:textId="77777777" w:rsidR="00A2241E" w:rsidRPr="00270FBB" w:rsidRDefault="00A2241E" w:rsidP="00A2241E">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Fiji: </w:t>
      </w:r>
      <w:hyperlink r:id="rId8" w:history="1">
        <w:r w:rsidRPr="00270FBB">
          <w:rPr>
            <w:rStyle w:val="Hyperlink"/>
            <w:rFonts w:eastAsia="Times New Roman"/>
            <w:i/>
            <w:lang w:eastAsia="en-AU"/>
          </w:rPr>
          <w:t>CRIMES ACT 2009 - Laws of Fiji</w:t>
        </w:r>
      </w:hyperlink>
      <w:r w:rsidRPr="00270FBB">
        <w:rPr>
          <w:rFonts w:eastAsia="Times New Roman"/>
          <w:i/>
          <w:color w:val="0563C1" w:themeColor="hyperlink"/>
          <w:lang w:eastAsia="en-AU"/>
        </w:rPr>
        <w:t xml:space="preserve">; </w:t>
      </w:r>
      <w:hyperlink r:id="rId9" w:history="1">
        <w:r w:rsidRPr="00270FBB">
          <w:rPr>
            <w:rStyle w:val="Hyperlink"/>
            <w:rFonts w:eastAsia="Times New Roman"/>
            <w:i/>
            <w:lang w:eastAsia="en-AU"/>
          </w:rPr>
          <w:t>Prevention of Bribery Act 2007</w:t>
        </w:r>
        <w:r w:rsidRPr="00270FBB">
          <w:rPr>
            <w:rStyle w:val="Hyperlink"/>
            <w:rFonts w:eastAsia="Times New Roman"/>
            <w:lang w:eastAsia="en-AU"/>
          </w:rPr>
          <w:t xml:space="preserve"> </w:t>
        </w:r>
      </w:hyperlink>
      <w:r w:rsidRPr="00270FBB">
        <w:rPr>
          <w:rFonts w:eastAsia="Times New Roman"/>
          <w:lang w:eastAsia="en-AU"/>
        </w:rPr>
        <w:t xml:space="preserve"> (For offences committed prior to 1/2/2010 see</w:t>
      </w:r>
      <w:r w:rsidRPr="00270FBB">
        <w:rPr>
          <w:rFonts w:eastAsia="Times New Roman"/>
          <w:b/>
          <w:bCs/>
          <w:lang w:eastAsia="en-AU"/>
        </w:rPr>
        <w:t xml:space="preserve"> </w:t>
      </w:r>
      <w:hyperlink r:id="rId10" w:history="1">
        <w:r w:rsidRPr="00270FBB">
          <w:rPr>
            <w:rStyle w:val="Hyperlink"/>
            <w:rFonts w:eastAsia="Times New Roman"/>
            <w:i/>
            <w:iCs/>
            <w:lang w:eastAsia="en-AU"/>
          </w:rPr>
          <w:t xml:space="preserve">Laws of Fiji </w:t>
        </w:r>
        <w:r w:rsidRPr="00270FBB">
          <w:rPr>
            <w:rStyle w:val="Hyperlink"/>
            <w:rFonts w:eastAsia="Times New Roman"/>
            <w:lang w:eastAsia="en-AU"/>
          </w:rPr>
          <w:t>Chapter 17 (Penal Code)</w:t>
        </w:r>
      </w:hyperlink>
      <w:r w:rsidRPr="00270FBB">
        <w:rPr>
          <w:rFonts w:eastAsia="Times New Roman"/>
          <w:lang w:eastAsia="en-AU"/>
        </w:rPr>
        <w:t>;</w:t>
      </w:r>
    </w:p>
    <w:p w14:paraId="28879BEB" w14:textId="77777777" w:rsidR="00A2241E" w:rsidRPr="00270FBB" w:rsidRDefault="00A2241E" w:rsidP="00A2241E">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Kiribati: </w:t>
      </w:r>
      <w:hyperlink r:id="rId11" w:history="1">
        <w:r w:rsidRPr="00270FBB">
          <w:rPr>
            <w:rStyle w:val="Hyperlink"/>
            <w:rFonts w:eastAsia="Times New Roman"/>
            <w:i/>
            <w:iCs/>
            <w:lang w:eastAsia="en-AU"/>
          </w:rPr>
          <w:t>Penal Code</w:t>
        </w:r>
        <w:r w:rsidRPr="00270FBB">
          <w:rPr>
            <w:rStyle w:val="Hyperlink"/>
            <w:rFonts w:eastAsia="Times New Roman"/>
            <w:lang w:eastAsia="en-AU"/>
          </w:rPr>
          <w:t xml:space="preserve"> 1977</w:t>
        </w:r>
      </w:hyperlink>
      <w:r w:rsidRPr="00270FBB">
        <w:rPr>
          <w:rFonts w:eastAsia="Times New Roman"/>
          <w:lang w:eastAsia="en-AU"/>
        </w:rPr>
        <w:t xml:space="preserve">; </w:t>
      </w:r>
    </w:p>
    <w:p w14:paraId="7575605B" w14:textId="77777777" w:rsidR="00A2241E" w:rsidRPr="00270FBB" w:rsidRDefault="00A2241E" w:rsidP="00A2241E">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Nauru: </w:t>
      </w:r>
      <w:hyperlink r:id="rId12" w:history="1">
        <w:r w:rsidRPr="00270FBB">
          <w:rPr>
            <w:rStyle w:val="Hyperlink"/>
            <w:rFonts w:eastAsia="Times New Roman"/>
            <w:i/>
            <w:iCs/>
            <w:lang w:eastAsia="en-AU"/>
          </w:rPr>
          <w:t>Crimes Act 2016</w:t>
        </w:r>
      </w:hyperlink>
      <w:r w:rsidRPr="00270FBB">
        <w:rPr>
          <w:rFonts w:eastAsia="Times New Roman"/>
          <w:lang w:eastAsia="en-AU"/>
        </w:rPr>
        <w:t xml:space="preserve">; </w:t>
      </w:r>
    </w:p>
    <w:p w14:paraId="32FE8908" w14:textId="77777777" w:rsidR="00A2241E" w:rsidRPr="00270FBB" w:rsidRDefault="00A2241E" w:rsidP="00A2241E">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Palau: </w:t>
      </w:r>
      <w:hyperlink r:id="rId13" w:history="1">
        <w:r w:rsidRPr="00270FBB">
          <w:rPr>
            <w:rStyle w:val="Hyperlink"/>
            <w:rFonts w:eastAsia="Times New Roman"/>
            <w:i/>
            <w:iCs/>
            <w:lang w:eastAsia="en-AU"/>
          </w:rPr>
          <w:t>Penal Code of the Republic of Palau</w:t>
        </w:r>
      </w:hyperlink>
      <w:r w:rsidRPr="00270FBB">
        <w:rPr>
          <w:rFonts w:eastAsia="Times New Roman"/>
          <w:lang w:eastAsia="en-AU"/>
        </w:rPr>
        <w:t xml:space="preserve">; </w:t>
      </w:r>
    </w:p>
    <w:p w14:paraId="69DBC90D" w14:textId="77777777" w:rsidR="00A2241E" w:rsidRPr="00270FBB" w:rsidRDefault="00A2241E" w:rsidP="00A2241E">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Papua New Guinea: </w:t>
      </w:r>
      <w:hyperlink r:id="rId14" w:history="1">
        <w:r w:rsidRPr="00270FBB">
          <w:rPr>
            <w:rStyle w:val="Hyperlink"/>
            <w:rFonts w:eastAsia="Times New Roman"/>
            <w:i/>
            <w:iCs/>
            <w:lang w:eastAsia="en-AU"/>
          </w:rPr>
          <w:t>Criminal Code Act 1974</w:t>
        </w:r>
      </w:hyperlink>
      <w:r w:rsidRPr="00270FBB">
        <w:rPr>
          <w:rFonts w:eastAsia="Times New Roman"/>
          <w:lang w:eastAsia="en-AU"/>
        </w:rPr>
        <w:t xml:space="preserve">; </w:t>
      </w:r>
    </w:p>
    <w:p w14:paraId="2FBCED10" w14:textId="77777777" w:rsidR="00A2241E" w:rsidRPr="00270FBB" w:rsidRDefault="00A2241E" w:rsidP="00A2241E">
      <w:pPr>
        <w:numPr>
          <w:ilvl w:val="0"/>
          <w:numId w:val="1"/>
        </w:numPr>
        <w:spacing w:after="0" w:line="240" w:lineRule="auto"/>
        <w:contextualSpacing/>
        <w:jc w:val="both"/>
        <w:rPr>
          <w:rFonts w:eastAsia="Times New Roman"/>
          <w:lang w:eastAsia="en-AU"/>
        </w:rPr>
      </w:pPr>
      <w:r w:rsidRPr="00270FBB">
        <w:rPr>
          <w:rFonts w:eastAsia="Times New Roman"/>
          <w:b/>
          <w:bCs/>
          <w:lang w:eastAsia="en-AU"/>
        </w:rPr>
        <w:t>Republic of Marshall Islands</w:t>
      </w:r>
      <w:r w:rsidRPr="00270FBB">
        <w:rPr>
          <w:rFonts w:eastAsia="Times New Roman"/>
          <w:lang w:eastAsia="en-AU"/>
        </w:rPr>
        <w:t xml:space="preserve">: </w:t>
      </w:r>
      <w:hyperlink r:id="rId15" w:history="1">
        <w:r w:rsidRPr="00270FBB">
          <w:rPr>
            <w:rStyle w:val="Hyperlink"/>
            <w:rFonts w:eastAsia="Times New Roman"/>
            <w:i/>
            <w:iCs/>
            <w:lang w:eastAsia="en-AU"/>
          </w:rPr>
          <w:t xml:space="preserve">Marshall Islands Revised Code 2014 </w:t>
        </w:r>
        <w:r w:rsidRPr="00270FBB">
          <w:rPr>
            <w:rStyle w:val="Hyperlink"/>
            <w:rFonts w:eastAsia="Times New Roman"/>
            <w:i/>
            <w:lang w:eastAsia="en-AU"/>
          </w:rPr>
          <w:t>Title 31 Chapter 1</w:t>
        </w:r>
      </w:hyperlink>
      <w:r w:rsidRPr="00270FBB">
        <w:rPr>
          <w:rFonts w:eastAsia="Times New Roman"/>
          <w:i/>
          <w:lang w:eastAsia="en-AU"/>
        </w:rPr>
        <w:t>;</w:t>
      </w:r>
      <w:r w:rsidRPr="00270FBB">
        <w:rPr>
          <w:rFonts w:eastAsia="Times New Roman"/>
          <w:lang w:eastAsia="en-AU"/>
        </w:rPr>
        <w:t xml:space="preserve"> </w:t>
      </w:r>
    </w:p>
    <w:p w14:paraId="7DDF4385" w14:textId="77777777" w:rsidR="00A2241E" w:rsidRPr="00270FBB" w:rsidRDefault="00A2241E" w:rsidP="00A2241E">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Samoa: </w:t>
      </w:r>
      <w:hyperlink r:id="rId16" w:history="1">
        <w:r w:rsidRPr="00270FBB">
          <w:rPr>
            <w:rStyle w:val="Hyperlink"/>
            <w:rFonts w:eastAsia="Times New Roman"/>
            <w:i/>
            <w:iCs/>
            <w:lang w:eastAsia="en-AU"/>
          </w:rPr>
          <w:t>Crimes Act 2013</w:t>
        </w:r>
      </w:hyperlink>
      <w:r w:rsidRPr="00270FBB">
        <w:rPr>
          <w:rFonts w:eastAsia="Times New Roman"/>
          <w:lang w:eastAsia="en-AU"/>
        </w:rPr>
        <w:t xml:space="preserve">; </w:t>
      </w:r>
    </w:p>
    <w:p w14:paraId="792E34CE" w14:textId="77777777" w:rsidR="00A2241E" w:rsidRPr="00270FBB" w:rsidRDefault="00A2241E" w:rsidP="00A2241E">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Solomon Islands: </w:t>
      </w:r>
      <w:hyperlink r:id="rId17" w:history="1">
        <w:r w:rsidRPr="00270FBB">
          <w:rPr>
            <w:rStyle w:val="Hyperlink"/>
            <w:rFonts w:eastAsia="Times New Roman"/>
            <w:i/>
            <w:iCs/>
            <w:lang w:eastAsia="en-AU"/>
          </w:rPr>
          <w:t>Penal Code 1963</w:t>
        </w:r>
      </w:hyperlink>
      <w:r w:rsidRPr="00270FBB">
        <w:rPr>
          <w:rFonts w:eastAsia="Times New Roman"/>
          <w:lang w:eastAsia="en-AU"/>
        </w:rPr>
        <w:t xml:space="preserve">; </w:t>
      </w:r>
    </w:p>
    <w:p w14:paraId="7CACCDD3" w14:textId="77777777" w:rsidR="00A2241E" w:rsidRPr="00270FBB" w:rsidRDefault="00A2241E" w:rsidP="00A2241E">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Tokelau: </w:t>
      </w:r>
      <w:hyperlink r:id="rId18" w:history="1">
        <w:r w:rsidRPr="00270FBB">
          <w:rPr>
            <w:rStyle w:val="Hyperlink"/>
            <w:rFonts w:eastAsia="Times New Roman"/>
            <w:i/>
            <w:iCs/>
            <w:lang w:eastAsia="en-AU"/>
          </w:rPr>
          <w:t>Crimes, Procedure and Evidence Rules 2003</w:t>
        </w:r>
      </w:hyperlink>
      <w:r w:rsidRPr="00270FBB">
        <w:rPr>
          <w:rFonts w:eastAsia="Times New Roman"/>
          <w:lang w:eastAsia="en-AU"/>
        </w:rPr>
        <w:t xml:space="preserve"> </w:t>
      </w:r>
    </w:p>
    <w:p w14:paraId="0C6115C3" w14:textId="77777777" w:rsidR="00A2241E" w:rsidRPr="00270FBB" w:rsidRDefault="00A2241E" w:rsidP="00A2241E">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Tonga: </w:t>
      </w:r>
      <w:hyperlink r:id="rId19" w:history="1">
        <w:r w:rsidRPr="00270FBB">
          <w:rPr>
            <w:rStyle w:val="Hyperlink"/>
            <w:rFonts w:eastAsia="Times New Roman"/>
            <w:i/>
            <w:iCs/>
            <w:lang w:eastAsia="en-AU"/>
          </w:rPr>
          <w:t xml:space="preserve">Laws of Tonga </w:t>
        </w:r>
        <w:r w:rsidRPr="00270FBB">
          <w:rPr>
            <w:rStyle w:val="Hyperlink"/>
            <w:rFonts w:eastAsia="Times New Roman"/>
            <w:lang w:eastAsia="en-AU"/>
          </w:rPr>
          <w:t>Chapter 18 (Criminal Offences)</w:t>
        </w:r>
      </w:hyperlink>
      <w:r w:rsidRPr="00270FBB">
        <w:rPr>
          <w:rFonts w:eastAsia="Times New Roman"/>
          <w:lang w:eastAsia="en-AU"/>
        </w:rPr>
        <w:t xml:space="preserve"> </w:t>
      </w:r>
    </w:p>
    <w:p w14:paraId="038C81EE" w14:textId="77777777" w:rsidR="00A2241E" w:rsidRPr="00270FBB" w:rsidRDefault="00A2241E" w:rsidP="00A2241E">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Vanuatu: </w:t>
      </w:r>
      <w:hyperlink r:id="rId20" w:history="1">
        <w:r w:rsidRPr="00270FBB">
          <w:rPr>
            <w:rStyle w:val="Hyperlink"/>
            <w:rFonts w:eastAsia="Times New Roman"/>
            <w:i/>
            <w:iCs/>
            <w:lang w:eastAsia="en-AU"/>
          </w:rPr>
          <w:t>Penal Code 1977</w:t>
        </w:r>
      </w:hyperlink>
      <w:r w:rsidRPr="00270FBB">
        <w:rPr>
          <w:rFonts w:eastAsia="Times New Roman"/>
          <w:lang w:eastAsia="en-AU"/>
        </w:rPr>
        <w:t xml:space="preserve"> </w:t>
      </w:r>
    </w:p>
    <w:p w14:paraId="03E6A019" w14:textId="77777777" w:rsidR="0045067A" w:rsidRPr="0045067A" w:rsidRDefault="0045067A" w:rsidP="0045067A">
      <w:pPr>
        <w:spacing w:after="0" w:line="240" w:lineRule="auto"/>
        <w:jc w:val="both"/>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3397"/>
        <w:gridCol w:w="2552"/>
        <w:gridCol w:w="2202"/>
      </w:tblGrid>
      <w:tr w:rsidR="0045067A" w:rsidRPr="0045067A" w14:paraId="5F21B9AF" w14:textId="77777777" w:rsidTr="00DD238F">
        <w:trPr>
          <w:cantSplit/>
          <w:jc w:val="center"/>
        </w:trPr>
        <w:tc>
          <w:tcPr>
            <w:tcW w:w="3397" w:type="dxa"/>
            <w:shd w:val="clear" w:color="auto" w:fill="BDD6EE" w:themeFill="accent1" w:themeFillTint="66"/>
          </w:tcPr>
          <w:p w14:paraId="41988A2B" w14:textId="77777777" w:rsidR="0045067A" w:rsidRPr="0045067A" w:rsidRDefault="0045067A" w:rsidP="0045067A">
            <w:pPr>
              <w:jc w:val="both"/>
              <w:rPr>
                <w:rFonts w:eastAsia="Times New Roman" w:cstheme="minorHAnsi"/>
                <w:lang w:eastAsia="en-AU"/>
              </w:rPr>
            </w:pPr>
          </w:p>
        </w:tc>
        <w:tc>
          <w:tcPr>
            <w:tcW w:w="2552" w:type="dxa"/>
            <w:shd w:val="clear" w:color="auto" w:fill="BDD6EE" w:themeFill="accent1" w:themeFillTint="66"/>
          </w:tcPr>
          <w:p w14:paraId="13F9581C" w14:textId="77777777" w:rsidR="0045067A" w:rsidRPr="0045067A" w:rsidRDefault="0045067A" w:rsidP="0045067A">
            <w:pPr>
              <w:jc w:val="center"/>
              <w:rPr>
                <w:rFonts w:eastAsia="Times New Roman" w:cstheme="minorHAnsi"/>
                <w:b/>
                <w:lang w:eastAsia="en-AU"/>
              </w:rPr>
            </w:pPr>
            <w:r w:rsidRPr="0045067A">
              <w:rPr>
                <w:rFonts w:eastAsia="Times New Roman" w:cstheme="minorHAnsi"/>
                <w:b/>
                <w:lang w:eastAsia="en-AU"/>
              </w:rPr>
              <w:t>Fraud</w:t>
            </w:r>
          </w:p>
        </w:tc>
        <w:tc>
          <w:tcPr>
            <w:tcW w:w="2202" w:type="dxa"/>
            <w:shd w:val="clear" w:color="auto" w:fill="BDD6EE" w:themeFill="accent1" w:themeFillTint="66"/>
          </w:tcPr>
          <w:p w14:paraId="5FB5DE65" w14:textId="77777777" w:rsidR="0045067A" w:rsidRPr="0045067A" w:rsidRDefault="0045067A" w:rsidP="0045067A">
            <w:pPr>
              <w:jc w:val="center"/>
              <w:rPr>
                <w:rFonts w:eastAsia="Times New Roman" w:cstheme="minorHAnsi"/>
                <w:b/>
                <w:lang w:eastAsia="en-AU"/>
              </w:rPr>
            </w:pPr>
            <w:r w:rsidRPr="0045067A">
              <w:rPr>
                <w:rFonts w:eastAsia="Times New Roman" w:cstheme="minorHAnsi"/>
                <w:b/>
                <w:lang w:eastAsia="en-AU"/>
              </w:rPr>
              <w:t>Bribery</w:t>
            </w:r>
          </w:p>
        </w:tc>
      </w:tr>
      <w:tr w:rsidR="0045067A" w:rsidRPr="0045067A" w14:paraId="2ADE5741" w14:textId="77777777" w:rsidTr="00DD238F">
        <w:trPr>
          <w:cantSplit/>
          <w:jc w:val="center"/>
        </w:trPr>
        <w:tc>
          <w:tcPr>
            <w:tcW w:w="3397" w:type="dxa"/>
          </w:tcPr>
          <w:p w14:paraId="2BDD451E"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Federated States of Micronesia</w:t>
            </w:r>
          </w:p>
        </w:tc>
        <w:tc>
          <w:tcPr>
            <w:tcW w:w="2552" w:type="dxa"/>
            <w:shd w:val="clear" w:color="auto" w:fill="auto"/>
          </w:tcPr>
          <w:p w14:paraId="62B161DE"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 601(9)</w:t>
            </w:r>
          </w:p>
          <w:p w14:paraId="4A0476E9"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 602</w:t>
            </w:r>
          </w:p>
          <w:p w14:paraId="2852ACC0" w14:textId="77777777" w:rsidR="0045067A" w:rsidRPr="0045067A" w:rsidRDefault="0045067A" w:rsidP="0045067A">
            <w:pPr>
              <w:rPr>
                <w:rFonts w:eastAsia="Times New Roman" w:cstheme="minorHAnsi"/>
                <w:lang w:eastAsia="en-AU"/>
              </w:rPr>
            </w:pPr>
          </w:p>
        </w:tc>
        <w:tc>
          <w:tcPr>
            <w:tcW w:w="2202" w:type="dxa"/>
          </w:tcPr>
          <w:p w14:paraId="06BA0F01"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 516</w:t>
            </w:r>
          </w:p>
        </w:tc>
      </w:tr>
      <w:tr w:rsidR="0045067A" w:rsidRPr="0045067A" w14:paraId="13E5B85B" w14:textId="77777777" w:rsidTr="00DD238F">
        <w:trPr>
          <w:cantSplit/>
          <w:jc w:val="center"/>
        </w:trPr>
        <w:tc>
          <w:tcPr>
            <w:tcW w:w="3397" w:type="dxa"/>
          </w:tcPr>
          <w:p w14:paraId="2EC633CD"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Fiji</w:t>
            </w:r>
          </w:p>
        </w:tc>
        <w:tc>
          <w:tcPr>
            <w:tcW w:w="2552" w:type="dxa"/>
            <w:shd w:val="clear" w:color="auto" w:fill="auto"/>
          </w:tcPr>
          <w:p w14:paraId="04BE1B7D"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ss 4, 200, 290, 291, 292, 293, 317, 318, 319(1)(b), 323, 324, 325, 327, 328, 329, 330</w:t>
            </w:r>
          </w:p>
        </w:tc>
        <w:tc>
          <w:tcPr>
            <w:tcW w:w="2202" w:type="dxa"/>
          </w:tcPr>
          <w:p w14:paraId="0C313FFD"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 4, 133, 134, 135, 136, 137, 138</w:t>
            </w:r>
          </w:p>
          <w:p w14:paraId="58707B84" w14:textId="77777777" w:rsidR="0045067A" w:rsidRPr="0045067A" w:rsidRDefault="0045067A" w:rsidP="0045067A">
            <w:pPr>
              <w:rPr>
                <w:rFonts w:eastAsia="Times New Roman" w:cstheme="minorHAnsi"/>
                <w:lang w:eastAsia="en-AU"/>
              </w:rPr>
            </w:pPr>
          </w:p>
          <w:p w14:paraId="6E3F500A" w14:textId="77777777" w:rsidR="0045067A" w:rsidRPr="0045067A" w:rsidRDefault="0045067A" w:rsidP="0045067A">
            <w:pPr>
              <w:ind w:right="-57"/>
              <w:rPr>
                <w:rFonts w:eastAsia="Times New Roman" w:cstheme="minorHAnsi"/>
                <w:b/>
                <w:i/>
                <w:sz w:val="20"/>
                <w:szCs w:val="20"/>
                <w:u w:val="single"/>
                <w:lang w:val="en-GB" w:eastAsia="en-AU"/>
              </w:rPr>
            </w:pPr>
            <w:r w:rsidRPr="0045067A">
              <w:rPr>
                <w:rFonts w:eastAsia="Times New Roman" w:cstheme="minorHAnsi"/>
                <w:b/>
                <w:i/>
                <w:sz w:val="20"/>
                <w:szCs w:val="20"/>
                <w:u w:val="single"/>
                <w:lang w:val="en-GB" w:eastAsia="en-AU"/>
              </w:rPr>
              <w:t xml:space="preserve">Prevention of Bribery Act </w:t>
            </w:r>
          </w:p>
          <w:p w14:paraId="0DEE8EB7" w14:textId="77777777" w:rsidR="0045067A" w:rsidRPr="0045067A" w:rsidRDefault="0045067A" w:rsidP="0045067A">
            <w:pPr>
              <w:rPr>
                <w:rFonts w:eastAsia="Times New Roman" w:cstheme="minorHAnsi"/>
                <w:lang w:eastAsia="en-AU"/>
              </w:rPr>
            </w:pPr>
            <w:r w:rsidRPr="0045067A">
              <w:rPr>
                <w:rFonts w:eastAsia="Times New Roman" w:cstheme="minorHAnsi"/>
                <w:sz w:val="20"/>
                <w:szCs w:val="20"/>
                <w:lang w:val="en-GB" w:eastAsia="en-AU"/>
              </w:rPr>
              <w:t xml:space="preserve">ss 2, 3, 4, 5, 6, 8 </w:t>
            </w:r>
          </w:p>
        </w:tc>
      </w:tr>
      <w:tr w:rsidR="0045067A" w:rsidRPr="0045067A" w14:paraId="50513A65" w14:textId="77777777" w:rsidTr="00DD238F">
        <w:trPr>
          <w:cantSplit/>
          <w:jc w:val="center"/>
        </w:trPr>
        <w:tc>
          <w:tcPr>
            <w:tcW w:w="3397" w:type="dxa"/>
          </w:tcPr>
          <w:p w14:paraId="6EDE4589"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Kiribati</w:t>
            </w:r>
          </w:p>
        </w:tc>
        <w:tc>
          <w:tcPr>
            <w:tcW w:w="2552" w:type="dxa"/>
            <w:shd w:val="clear" w:color="auto" w:fill="auto"/>
          </w:tcPr>
          <w:p w14:paraId="601E87BD"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ss 121, 251, 266</w:t>
            </w:r>
          </w:p>
        </w:tc>
        <w:tc>
          <w:tcPr>
            <w:tcW w:w="2202" w:type="dxa"/>
          </w:tcPr>
          <w:p w14:paraId="0E4A37F4"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 85</w:t>
            </w:r>
          </w:p>
        </w:tc>
      </w:tr>
      <w:tr w:rsidR="0045067A" w:rsidRPr="0045067A" w14:paraId="0438E806" w14:textId="77777777" w:rsidTr="00DD238F">
        <w:trPr>
          <w:cantSplit/>
          <w:jc w:val="center"/>
        </w:trPr>
        <w:tc>
          <w:tcPr>
            <w:tcW w:w="3397" w:type="dxa"/>
          </w:tcPr>
          <w:p w14:paraId="573A1BB7"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lastRenderedPageBreak/>
              <w:t>Nauru</w:t>
            </w:r>
          </w:p>
        </w:tc>
        <w:tc>
          <w:tcPr>
            <w:tcW w:w="2552" w:type="dxa"/>
            <w:shd w:val="clear" w:color="auto" w:fill="auto"/>
          </w:tcPr>
          <w:p w14:paraId="6B463250"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ss150, 153, 166-168, 179</w:t>
            </w:r>
          </w:p>
        </w:tc>
        <w:tc>
          <w:tcPr>
            <w:tcW w:w="2202" w:type="dxa"/>
          </w:tcPr>
          <w:p w14:paraId="7F052A69"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 173</w:t>
            </w:r>
          </w:p>
        </w:tc>
      </w:tr>
      <w:tr w:rsidR="0045067A" w:rsidRPr="0045067A" w14:paraId="1CE3609A" w14:textId="77777777" w:rsidTr="00DD238F">
        <w:trPr>
          <w:cantSplit/>
          <w:jc w:val="center"/>
        </w:trPr>
        <w:tc>
          <w:tcPr>
            <w:tcW w:w="3397" w:type="dxa"/>
          </w:tcPr>
          <w:p w14:paraId="1629D49F"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Palau</w:t>
            </w:r>
          </w:p>
        </w:tc>
        <w:tc>
          <w:tcPr>
            <w:tcW w:w="2552" w:type="dxa"/>
            <w:shd w:val="clear" w:color="auto" w:fill="auto"/>
          </w:tcPr>
          <w:p w14:paraId="5DCE9234"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ss 2600, 2614, 2615</w:t>
            </w:r>
          </w:p>
        </w:tc>
        <w:tc>
          <w:tcPr>
            <w:tcW w:w="2202" w:type="dxa"/>
          </w:tcPr>
          <w:p w14:paraId="58CBC8CE"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 4100</w:t>
            </w:r>
          </w:p>
        </w:tc>
      </w:tr>
      <w:tr w:rsidR="0045067A" w:rsidRPr="0045067A" w14:paraId="710E1E20" w14:textId="77777777" w:rsidTr="00DD238F">
        <w:trPr>
          <w:cantSplit/>
          <w:jc w:val="center"/>
        </w:trPr>
        <w:tc>
          <w:tcPr>
            <w:tcW w:w="3397" w:type="dxa"/>
          </w:tcPr>
          <w:p w14:paraId="59FDBEA6"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Papua New Guinea</w:t>
            </w:r>
          </w:p>
        </w:tc>
        <w:tc>
          <w:tcPr>
            <w:tcW w:w="2552" w:type="dxa"/>
            <w:shd w:val="clear" w:color="auto" w:fill="auto"/>
          </w:tcPr>
          <w:p w14:paraId="7687C3D0"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 xml:space="preserve">s406, s365 </w:t>
            </w:r>
          </w:p>
          <w:p w14:paraId="516FF6C7"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 383A, s403, s404, s405</w:t>
            </w:r>
          </w:p>
        </w:tc>
        <w:tc>
          <w:tcPr>
            <w:tcW w:w="2202" w:type="dxa"/>
          </w:tcPr>
          <w:p w14:paraId="4F5AFFA4"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ss 87, 97B, 119, 120</w:t>
            </w:r>
          </w:p>
        </w:tc>
      </w:tr>
      <w:tr w:rsidR="0045067A" w:rsidRPr="0045067A" w14:paraId="738FE037" w14:textId="77777777" w:rsidTr="00DD238F">
        <w:trPr>
          <w:cantSplit/>
          <w:jc w:val="center"/>
        </w:trPr>
        <w:tc>
          <w:tcPr>
            <w:tcW w:w="3397" w:type="dxa"/>
          </w:tcPr>
          <w:p w14:paraId="45A6B2E0"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Republic of Marshall Islands</w:t>
            </w:r>
          </w:p>
        </w:tc>
        <w:tc>
          <w:tcPr>
            <w:tcW w:w="2552" w:type="dxa"/>
            <w:shd w:val="clear" w:color="auto" w:fill="auto"/>
          </w:tcPr>
          <w:p w14:paraId="272921F4"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ss 223.0, 223.3, 240.7</w:t>
            </w:r>
          </w:p>
        </w:tc>
        <w:tc>
          <w:tcPr>
            <w:tcW w:w="2202" w:type="dxa"/>
            <w:shd w:val="clear" w:color="auto" w:fill="auto"/>
          </w:tcPr>
          <w:p w14:paraId="70085AAA" w14:textId="77777777" w:rsidR="0045067A" w:rsidRPr="0045067A" w:rsidRDefault="0045067A" w:rsidP="0045067A">
            <w:pPr>
              <w:ind w:right="-57"/>
              <w:rPr>
                <w:rFonts w:eastAsia="Times New Roman" w:cstheme="minorHAnsi"/>
                <w:iCs/>
                <w:lang w:val="en-GB" w:eastAsia="en-AU"/>
              </w:rPr>
            </w:pPr>
            <w:r w:rsidRPr="0045067A">
              <w:rPr>
                <w:rFonts w:eastAsia="Times New Roman" w:cstheme="minorHAnsi"/>
                <w:iCs/>
                <w:lang w:val="en-GB" w:eastAsia="en-AU"/>
              </w:rPr>
              <w:t xml:space="preserve">s 240.0 </w:t>
            </w:r>
          </w:p>
          <w:p w14:paraId="0B8B2179" w14:textId="77777777" w:rsidR="0045067A" w:rsidRPr="0045067A" w:rsidRDefault="0045067A" w:rsidP="0045067A">
            <w:pPr>
              <w:rPr>
                <w:rFonts w:eastAsia="Times New Roman" w:cstheme="minorHAnsi"/>
                <w:color w:val="FF0000"/>
                <w:lang w:eastAsia="en-AU"/>
              </w:rPr>
            </w:pPr>
            <w:r w:rsidRPr="0045067A">
              <w:rPr>
                <w:rFonts w:eastAsia="Times New Roman" w:cstheme="minorHAnsi"/>
                <w:lang w:eastAsia="en-AU"/>
              </w:rPr>
              <w:t>s 240.1</w:t>
            </w:r>
          </w:p>
        </w:tc>
      </w:tr>
      <w:tr w:rsidR="0045067A" w:rsidRPr="0045067A" w14:paraId="63F443DD" w14:textId="77777777" w:rsidTr="00DD238F">
        <w:trPr>
          <w:cantSplit/>
          <w:jc w:val="center"/>
        </w:trPr>
        <w:tc>
          <w:tcPr>
            <w:tcW w:w="3397" w:type="dxa"/>
          </w:tcPr>
          <w:p w14:paraId="7199A633"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Samoa</w:t>
            </w:r>
          </w:p>
        </w:tc>
        <w:tc>
          <w:tcPr>
            <w:tcW w:w="2552" w:type="dxa"/>
            <w:shd w:val="clear" w:color="auto" w:fill="auto"/>
          </w:tcPr>
          <w:p w14:paraId="2E89D50F" w14:textId="77777777" w:rsidR="0045067A" w:rsidRPr="0045067A" w:rsidRDefault="00C5335E" w:rsidP="0045067A">
            <w:pPr>
              <w:rPr>
                <w:rFonts w:eastAsia="Times New Roman" w:cstheme="minorHAnsi"/>
                <w:lang w:eastAsia="en-AU"/>
              </w:rPr>
            </w:pPr>
            <w:hyperlink w:anchor="Fraud_s_172" w:history="1">
              <w:r w:rsidR="0045067A" w:rsidRPr="00FE08B7">
                <w:rPr>
                  <w:rStyle w:val="Hyperlink"/>
                  <w:rFonts w:eastAsia="Times New Roman" w:cstheme="minorHAnsi"/>
                  <w:lang w:eastAsia="en-AU"/>
                </w:rPr>
                <w:t>s 172</w:t>
              </w:r>
            </w:hyperlink>
          </w:p>
        </w:tc>
        <w:tc>
          <w:tcPr>
            <w:tcW w:w="2202" w:type="dxa"/>
          </w:tcPr>
          <w:p w14:paraId="78BF74E4" w14:textId="77777777" w:rsidR="0045067A" w:rsidRPr="0045067A" w:rsidRDefault="00C5335E" w:rsidP="0045067A">
            <w:pPr>
              <w:rPr>
                <w:rFonts w:eastAsia="Times New Roman" w:cstheme="minorHAnsi"/>
                <w:lang w:eastAsia="en-AU"/>
              </w:rPr>
            </w:pPr>
            <w:hyperlink w:anchor="Fraud_s_138" w:history="1">
              <w:r w:rsidR="0045067A" w:rsidRPr="00FE08B7">
                <w:rPr>
                  <w:rStyle w:val="Hyperlink"/>
                  <w:rFonts w:eastAsia="Times New Roman" w:cstheme="minorHAnsi"/>
                  <w:lang w:eastAsia="en-AU"/>
                </w:rPr>
                <w:t>s 138</w:t>
              </w:r>
            </w:hyperlink>
          </w:p>
        </w:tc>
      </w:tr>
      <w:tr w:rsidR="0045067A" w:rsidRPr="0045067A" w14:paraId="569052A7" w14:textId="77777777" w:rsidTr="00DD238F">
        <w:trPr>
          <w:cantSplit/>
          <w:jc w:val="center"/>
        </w:trPr>
        <w:tc>
          <w:tcPr>
            <w:tcW w:w="3397" w:type="dxa"/>
          </w:tcPr>
          <w:p w14:paraId="2CDC6B00"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Solomon Islands</w:t>
            </w:r>
          </w:p>
        </w:tc>
        <w:tc>
          <w:tcPr>
            <w:tcW w:w="2552" w:type="dxa"/>
            <w:shd w:val="clear" w:color="auto" w:fill="auto"/>
          </w:tcPr>
          <w:p w14:paraId="1F01A031"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ss 129, 258, 273, 308</w:t>
            </w:r>
          </w:p>
        </w:tc>
        <w:tc>
          <w:tcPr>
            <w:tcW w:w="2202" w:type="dxa"/>
          </w:tcPr>
          <w:p w14:paraId="1C6B2C54"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 91</w:t>
            </w:r>
          </w:p>
        </w:tc>
      </w:tr>
      <w:tr w:rsidR="0045067A" w:rsidRPr="0045067A" w14:paraId="473A922B" w14:textId="77777777" w:rsidTr="00DD238F">
        <w:trPr>
          <w:cantSplit/>
          <w:jc w:val="center"/>
        </w:trPr>
        <w:tc>
          <w:tcPr>
            <w:tcW w:w="3397" w:type="dxa"/>
          </w:tcPr>
          <w:p w14:paraId="79BFBD16"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Tokelau</w:t>
            </w:r>
          </w:p>
        </w:tc>
        <w:tc>
          <w:tcPr>
            <w:tcW w:w="2552" w:type="dxa"/>
            <w:shd w:val="clear" w:color="auto" w:fill="auto"/>
          </w:tcPr>
          <w:p w14:paraId="4BC5EED3"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ss 27, 31, 73(1)</w:t>
            </w:r>
          </w:p>
        </w:tc>
        <w:tc>
          <w:tcPr>
            <w:tcW w:w="2202" w:type="dxa"/>
          </w:tcPr>
          <w:p w14:paraId="0367FBFC"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 72 (1), 72 (2)</w:t>
            </w:r>
          </w:p>
        </w:tc>
      </w:tr>
      <w:tr w:rsidR="0045067A" w:rsidRPr="0045067A" w14:paraId="574352D0" w14:textId="77777777" w:rsidTr="00DD238F">
        <w:trPr>
          <w:cantSplit/>
          <w:jc w:val="center"/>
        </w:trPr>
        <w:tc>
          <w:tcPr>
            <w:tcW w:w="3397" w:type="dxa"/>
          </w:tcPr>
          <w:p w14:paraId="2D064820"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Tonga</w:t>
            </w:r>
          </w:p>
        </w:tc>
        <w:tc>
          <w:tcPr>
            <w:tcW w:w="2552" w:type="dxa"/>
            <w:shd w:val="clear" w:color="auto" w:fill="auto"/>
          </w:tcPr>
          <w:p w14:paraId="6509B88F"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ss 53, 143, 144,  145</w:t>
            </w:r>
          </w:p>
        </w:tc>
        <w:tc>
          <w:tcPr>
            <w:tcW w:w="2202" w:type="dxa"/>
          </w:tcPr>
          <w:p w14:paraId="40FA23FC"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ss 50, 51</w:t>
            </w:r>
          </w:p>
        </w:tc>
      </w:tr>
      <w:tr w:rsidR="0045067A" w:rsidRPr="0045067A" w14:paraId="6FEE5DC5" w14:textId="77777777" w:rsidTr="00DD238F">
        <w:trPr>
          <w:cantSplit/>
          <w:jc w:val="center"/>
        </w:trPr>
        <w:tc>
          <w:tcPr>
            <w:tcW w:w="3397" w:type="dxa"/>
          </w:tcPr>
          <w:p w14:paraId="4CCCCE5A"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Vanuatu</w:t>
            </w:r>
          </w:p>
        </w:tc>
        <w:tc>
          <w:tcPr>
            <w:tcW w:w="2552" w:type="dxa"/>
            <w:shd w:val="clear" w:color="auto" w:fill="auto"/>
          </w:tcPr>
          <w:p w14:paraId="681535E6"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ss 122, 123, 124, 125</w:t>
            </w:r>
          </w:p>
        </w:tc>
        <w:tc>
          <w:tcPr>
            <w:tcW w:w="2202" w:type="dxa"/>
          </w:tcPr>
          <w:p w14:paraId="10C1A547"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 73</w:t>
            </w:r>
          </w:p>
        </w:tc>
      </w:tr>
    </w:tbl>
    <w:p w14:paraId="26904BA0" w14:textId="77777777" w:rsidR="0045067A" w:rsidRPr="0045067A" w:rsidRDefault="0045067A" w:rsidP="0045067A">
      <w:pPr>
        <w:spacing w:after="0" w:line="240" w:lineRule="auto"/>
        <w:rPr>
          <w:rFonts w:eastAsia="Times New Roman" w:cstheme="minorHAnsi"/>
          <w:lang w:eastAsia="en-AU"/>
        </w:rPr>
        <w:sectPr w:rsidR="0045067A" w:rsidRPr="0045067A" w:rsidSect="00DD238F">
          <w:headerReference w:type="default" r:id="rId21"/>
          <w:footerReference w:type="default" r:id="rId22"/>
          <w:pgSz w:w="11907" w:h="16840" w:code="9"/>
          <w:pgMar w:top="1588" w:right="1418" w:bottom="1985" w:left="1361" w:header="397" w:footer="516" w:gutter="0"/>
          <w:cols w:space="708"/>
          <w:docGrid w:linePitch="360"/>
        </w:sectPr>
      </w:pPr>
    </w:p>
    <w:p w14:paraId="08B1F2C0" w14:textId="77777777" w:rsidR="0045067A" w:rsidRPr="00B04E99" w:rsidRDefault="0045067A" w:rsidP="00B04E99">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1" w:name="_Chapter_2:_Summary"/>
      <w:bookmarkStart w:id="2" w:name="_Chapter_2:_Samoa"/>
      <w:bookmarkEnd w:id="1"/>
      <w:bookmarkEnd w:id="2"/>
      <w:r w:rsidRPr="00B04E99">
        <w:rPr>
          <w:rFonts w:asciiTheme="minorHAnsi" w:eastAsiaTheme="minorEastAsia" w:hAnsiTheme="minorHAnsi" w:cs="Times New Roman"/>
          <w:bCs w:val="0"/>
          <w:color w:val="002060"/>
          <w:kern w:val="32"/>
          <w:sz w:val="28"/>
          <w:szCs w:val="28"/>
          <w:lang w:val="en-US" w:eastAsia="en-US"/>
        </w:rPr>
        <w:lastRenderedPageBreak/>
        <w:t>Chapter 2: Samoa - Legislative Provisions and Elements of the Offences</w:t>
      </w:r>
    </w:p>
    <w:p w14:paraId="2DBA5704" w14:textId="7E674533" w:rsidR="0045067A" w:rsidRDefault="0045067A" w:rsidP="0045067A">
      <w:pPr>
        <w:keepNext/>
        <w:spacing w:before="120" w:after="0" w:line="240" w:lineRule="auto"/>
        <w:rPr>
          <w:rFonts w:eastAsia="Times New Roman" w:cstheme="minorHAnsi"/>
          <w:bCs/>
          <w:color w:val="242424"/>
          <w:szCs w:val="24"/>
          <w:shd w:val="clear" w:color="auto" w:fill="FFFFFF"/>
          <w:lang w:eastAsia="en-AU"/>
        </w:rPr>
      </w:pPr>
      <w:r w:rsidRPr="0045067A">
        <w:rPr>
          <w:rFonts w:eastAsia="Times New Roman" w:cstheme="minorHAnsi"/>
          <w:bCs/>
          <w:color w:val="242424"/>
          <w:szCs w:val="24"/>
          <w:shd w:val="clear" w:color="auto" w:fill="FFFFFF"/>
          <w:lang w:eastAsia="en-AU"/>
        </w:rPr>
        <w:t xml:space="preserve">Under the two offence categories, the below offences pursuant to the </w:t>
      </w:r>
      <w:hyperlink r:id="rId23" w:history="1">
        <w:r w:rsidR="00FA7FEA" w:rsidRPr="00270FBB">
          <w:rPr>
            <w:rStyle w:val="Hyperlink"/>
            <w:rFonts w:eastAsia="Times New Roman"/>
            <w:i/>
            <w:iCs/>
            <w:lang w:eastAsia="en-AU"/>
          </w:rPr>
          <w:t>Crimes Act 2013</w:t>
        </w:r>
      </w:hyperlink>
      <w:r w:rsidRPr="0045067A">
        <w:rPr>
          <w:rFonts w:eastAsia="Times New Roman" w:cstheme="minorHAnsi"/>
          <w:bCs/>
          <w:i/>
          <w:color w:val="242424"/>
          <w:szCs w:val="24"/>
          <w:shd w:val="clear" w:color="auto" w:fill="FFFFFF"/>
          <w:lang w:eastAsia="en-AU"/>
        </w:rPr>
        <w:t xml:space="preserve">, </w:t>
      </w:r>
      <w:r w:rsidRPr="0045067A">
        <w:rPr>
          <w:rFonts w:eastAsia="Times New Roman" w:cstheme="minorHAnsi"/>
          <w:bCs/>
          <w:color w:val="242424"/>
          <w:szCs w:val="24"/>
          <w:shd w:val="clear" w:color="auto" w:fill="FFFFFF"/>
          <w:lang w:eastAsia="en-AU"/>
        </w:rPr>
        <w:t xml:space="preserve">have been identified as falling within the scope of </w:t>
      </w:r>
      <w:r w:rsidRPr="0045067A">
        <w:rPr>
          <w:rFonts w:eastAsia="Times New Roman" w:cstheme="minorHAnsi"/>
          <w:bCs/>
          <w:i/>
          <w:color w:val="242424"/>
          <w:szCs w:val="24"/>
          <w:shd w:val="clear" w:color="auto" w:fill="FFFFFF"/>
          <w:lang w:eastAsia="en-AU"/>
        </w:rPr>
        <w:t xml:space="preserve">“corruption”. </w:t>
      </w:r>
      <w:r w:rsidRPr="0045067A">
        <w:rPr>
          <w:rFonts w:eastAsia="Times New Roman" w:cstheme="minorHAnsi"/>
          <w:bCs/>
          <w:color w:val="242424"/>
          <w:szCs w:val="24"/>
          <w:shd w:val="clear" w:color="auto" w:fill="FFFFFF"/>
          <w:lang w:eastAsia="en-AU"/>
        </w:rPr>
        <w:t>Power is used corruptly if it has been “used to obtain some private advantage or for any purpose foreign to the Power”.</w:t>
      </w:r>
      <w:r w:rsidRPr="0045067A">
        <w:rPr>
          <w:rFonts w:eastAsia="Times New Roman" w:cstheme="minorHAnsi"/>
          <w:bCs/>
          <w:color w:val="242424"/>
          <w:szCs w:val="24"/>
          <w:shd w:val="clear" w:color="auto" w:fill="FFFFFF"/>
          <w:vertAlign w:val="superscript"/>
          <w:lang w:eastAsia="en-AU"/>
        </w:rPr>
        <w:footnoteReference w:id="4"/>
      </w:r>
      <w:r w:rsidRPr="0045067A">
        <w:rPr>
          <w:rFonts w:eastAsia="Times New Roman" w:cstheme="minorHAnsi"/>
          <w:bCs/>
          <w:color w:val="242424"/>
          <w:szCs w:val="24"/>
          <w:shd w:val="clear" w:color="auto" w:fill="FFFFFF"/>
          <w:lang w:eastAsia="en-AU"/>
        </w:rPr>
        <w:t xml:space="preserve"> For the purposes of this program, </w:t>
      </w:r>
      <w:r w:rsidRPr="0045067A">
        <w:rPr>
          <w:rFonts w:eastAsia="Times New Roman" w:cstheme="minorHAnsi"/>
          <w:bCs/>
          <w:i/>
          <w:color w:val="242424"/>
          <w:szCs w:val="24"/>
          <w:shd w:val="clear" w:color="auto" w:fill="FFFFFF"/>
          <w:lang w:eastAsia="en-AU"/>
        </w:rPr>
        <w:t>“corruption”</w:t>
      </w:r>
      <w:r w:rsidRPr="0045067A">
        <w:rPr>
          <w:rFonts w:eastAsia="Times New Roman" w:cstheme="minorHAnsi"/>
          <w:bCs/>
          <w:color w:val="242424"/>
          <w:szCs w:val="24"/>
          <w:shd w:val="clear" w:color="auto" w:fill="FFFFFF"/>
          <w:lang w:eastAsia="en-AU"/>
        </w:rPr>
        <w:t xml:space="preserve"> refers to the abuse of entrusted power by public servants, with particular reference to the dishonest pursuit of gain.  ALTERNATIVELY: we have used this term in its generic meaning opposed, to its legal connotation.</w:t>
      </w:r>
    </w:p>
    <w:p w14:paraId="60A8EED2" w14:textId="77777777" w:rsidR="000D56BE" w:rsidRDefault="000D56BE" w:rsidP="0045067A">
      <w:pPr>
        <w:keepNext/>
        <w:spacing w:before="120" w:after="0" w:line="240" w:lineRule="auto"/>
        <w:rPr>
          <w:rFonts w:eastAsia="Times New Roman" w:cstheme="minorHAnsi"/>
          <w:bCs/>
          <w:color w:val="242424"/>
          <w:szCs w:val="24"/>
          <w:shd w:val="clear" w:color="auto" w:fill="FFFFFF"/>
          <w:lang w:eastAsia="en-AU"/>
        </w:rPr>
      </w:pPr>
    </w:p>
    <w:p w14:paraId="4BDEDB3C" w14:textId="77777777" w:rsidR="000D56BE" w:rsidRPr="00740140" w:rsidRDefault="000D56BE" w:rsidP="000D56BE">
      <w:pPr>
        <w:jc w:val="both"/>
        <w:rPr>
          <w:rFonts w:cstheme="minorHAnsi"/>
          <w:b/>
          <w:bCs/>
          <w:u w:val="single"/>
        </w:rPr>
      </w:pPr>
      <w:bookmarkStart w:id="3" w:name="Fraud_s_172"/>
      <w:r>
        <w:rPr>
          <w:rFonts w:cstheme="minorHAnsi"/>
          <w:b/>
          <w:u w:val="single"/>
        </w:rPr>
        <w:t>Fraud: s</w:t>
      </w:r>
      <w:r w:rsidRPr="00740140">
        <w:rPr>
          <w:rFonts w:cstheme="minorHAnsi"/>
          <w:b/>
          <w:u w:val="single"/>
        </w:rPr>
        <w:t xml:space="preserve"> 172. </w:t>
      </w:r>
      <w:r w:rsidRPr="00740140">
        <w:rPr>
          <w:rFonts w:cstheme="minorHAnsi"/>
          <w:b/>
          <w:bCs/>
          <w:u w:val="single"/>
        </w:rPr>
        <w:t>Obtaining by deception or causing loss by deception</w:t>
      </w:r>
    </w:p>
    <w:bookmarkEnd w:id="3"/>
    <w:p w14:paraId="3F8D6AAF" w14:textId="77777777" w:rsidR="000D56BE" w:rsidRPr="00740140" w:rsidRDefault="000D56BE" w:rsidP="000D56BE">
      <w:pPr>
        <w:pStyle w:val="ListParagraph"/>
        <w:numPr>
          <w:ilvl w:val="0"/>
          <w:numId w:val="12"/>
        </w:numPr>
        <w:jc w:val="both"/>
        <w:rPr>
          <w:rFonts w:asciiTheme="minorHAnsi" w:hAnsiTheme="minorHAnsi" w:cstheme="minorHAnsi"/>
          <w:sz w:val="22"/>
          <w:szCs w:val="22"/>
        </w:rPr>
      </w:pPr>
      <w:r w:rsidRPr="00740140">
        <w:rPr>
          <w:rFonts w:asciiTheme="minorHAnsi" w:hAnsiTheme="minorHAnsi" w:cstheme="minorHAnsi"/>
          <w:sz w:val="22"/>
          <w:szCs w:val="22"/>
        </w:rPr>
        <w:t>A person commits the offence of obtaining by deception or causing loss by deception who, by any deception:</w:t>
      </w:r>
    </w:p>
    <w:p w14:paraId="2F4285E8" w14:textId="77777777" w:rsidR="000D56BE" w:rsidRPr="00740140" w:rsidRDefault="000D56BE" w:rsidP="000D56BE">
      <w:pPr>
        <w:pStyle w:val="ListParagraph"/>
        <w:numPr>
          <w:ilvl w:val="1"/>
          <w:numId w:val="12"/>
        </w:numPr>
        <w:jc w:val="both"/>
        <w:rPr>
          <w:rFonts w:asciiTheme="minorHAnsi" w:hAnsiTheme="minorHAnsi" w:cstheme="minorHAnsi"/>
          <w:sz w:val="22"/>
          <w:szCs w:val="22"/>
        </w:rPr>
      </w:pPr>
      <w:r w:rsidRPr="00740140">
        <w:rPr>
          <w:rFonts w:asciiTheme="minorHAnsi" w:hAnsiTheme="minorHAnsi" w:cstheme="minorHAnsi"/>
          <w:sz w:val="22"/>
          <w:szCs w:val="22"/>
        </w:rPr>
        <w:t>obtains ownership or possession of, or control over, any property, or any privilege, service, pecuniary advantage, benefit, or valuable consideration, directly or indirectly; or</w:t>
      </w:r>
    </w:p>
    <w:p w14:paraId="2617CFF4" w14:textId="77777777" w:rsidR="000D56BE" w:rsidRPr="00740140" w:rsidRDefault="000D56BE" w:rsidP="000D56BE">
      <w:pPr>
        <w:pStyle w:val="ListParagraph"/>
        <w:numPr>
          <w:ilvl w:val="1"/>
          <w:numId w:val="12"/>
        </w:numPr>
        <w:jc w:val="both"/>
        <w:rPr>
          <w:rFonts w:asciiTheme="minorHAnsi" w:hAnsiTheme="minorHAnsi" w:cstheme="minorHAnsi"/>
          <w:sz w:val="22"/>
          <w:szCs w:val="22"/>
        </w:rPr>
      </w:pPr>
      <w:r w:rsidRPr="00740140">
        <w:rPr>
          <w:rFonts w:asciiTheme="minorHAnsi" w:hAnsiTheme="minorHAnsi" w:cstheme="minorHAnsi"/>
          <w:sz w:val="22"/>
          <w:szCs w:val="22"/>
        </w:rPr>
        <w:t>in incurring any debt or liability, obtains credit; or</w:t>
      </w:r>
    </w:p>
    <w:p w14:paraId="7A917FBB" w14:textId="77777777" w:rsidR="000D56BE" w:rsidRPr="00740140" w:rsidRDefault="000D56BE" w:rsidP="000D56BE">
      <w:pPr>
        <w:pStyle w:val="ListParagraph"/>
        <w:numPr>
          <w:ilvl w:val="1"/>
          <w:numId w:val="12"/>
        </w:numPr>
        <w:jc w:val="both"/>
        <w:rPr>
          <w:rFonts w:asciiTheme="minorHAnsi" w:hAnsiTheme="minorHAnsi" w:cstheme="minorHAnsi"/>
          <w:sz w:val="22"/>
          <w:szCs w:val="22"/>
        </w:rPr>
      </w:pPr>
      <w:r w:rsidRPr="00740140">
        <w:rPr>
          <w:rFonts w:asciiTheme="minorHAnsi" w:hAnsiTheme="minorHAnsi" w:cstheme="minorHAnsi"/>
          <w:sz w:val="22"/>
          <w:szCs w:val="22"/>
        </w:rPr>
        <w:t>induces or causes any other person to deliver over, execute, make, accept, endorse, destroy, or alter any document or thing capable of being used to derive a pecuniary advantage; or</w:t>
      </w:r>
    </w:p>
    <w:p w14:paraId="3ADE1CB3" w14:textId="77777777" w:rsidR="000D56BE" w:rsidRPr="00740140" w:rsidRDefault="000D56BE" w:rsidP="000D56BE">
      <w:pPr>
        <w:pStyle w:val="ListParagraph"/>
        <w:numPr>
          <w:ilvl w:val="1"/>
          <w:numId w:val="12"/>
        </w:numPr>
        <w:jc w:val="both"/>
        <w:rPr>
          <w:rFonts w:asciiTheme="minorHAnsi" w:hAnsiTheme="minorHAnsi" w:cstheme="minorHAnsi"/>
          <w:sz w:val="22"/>
          <w:szCs w:val="22"/>
        </w:rPr>
      </w:pPr>
      <w:r w:rsidRPr="00740140">
        <w:rPr>
          <w:rFonts w:asciiTheme="minorHAnsi" w:hAnsiTheme="minorHAnsi" w:cstheme="minorHAnsi"/>
          <w:sz w:val="22"/>
          <w:szCs w:val="22"/>
        </w:rPr>
        <w:t>causes loss to any other person.</w:t>
      </w:r>
    </w:p>
    <w:p w14:paraId="75FFCAED" w14:textId="77777777" w:rsidR="000D56BE" w:rsidRPr="00740140" w:rsidRDefault="000D56BE" w:rsidP="000D56BE">
      <w:pPr>
        <w:pStyle w:val="ListParagraph"/>
        <w:numPr>
          <w:ilvl w:val="0"/>
          <w:numId w:val="12"/>
        </w:numPr>
        <w:jc w:val="both"/>
        <w:rPr>
          <w:rFonts w:asciiTheme="minorHAnsi" w:hAnsiTheme="minorHAnsi" w:cstheme="minorHAnsi"/>
          <w:sz w:val="22"/>
          <w:szCs w:val="22"/>
        </w:rPr>
      </w:pPr>
      <w:r w:rsidRPr="00740140">
        <w:rPr>
          <w:rFonts w:asciiTheme="minorHAnsi" w:hAnsiTheme="minorHAnsi" w:cstheme="minorHAnsi"/>
          <w:sz w:val="22"/>
          <w:szCs w:val="22"/>
        </w:rPr>
        <w:t>In this section, “deception” means:</w:t>
      </w:r>
    </w:p>
    <w:p w14:paraId="7118E65F" w14:textId="77777777" w:rsidR="000D56BE" w:rsidRPr="00740140" w:rsidRDefault="000D56BE" w:rsidP="000D56BE">
      <w:pPr>
        <w:pStyle w:val="ListParagraph"/>
        <w:numPr>
          <w:ilvl w:val="1"/>
          <w:numId w:val="12"/>
        </w:numPr>
        <w:jc w:val="both"/>
        <w:rPr>
          <w:rFonts w:asciiTheme="minorHAnsi" w:hAnsiTheme="minorHAnsi" w:cstheme="minorHAnsi"/>
          <w:sz w:val="22"/>
          <w:szCs w:val="22"/>
        </w:rPr>
      </w:pPr>
      <w:r w:rsidRPr="00740140">
        <w:rPr>
          <w:rFonts w:asciiTheme="minorHAnsi" w:hAnsiTheme="minorHAnsi" w:cstheme="minorHAnsi"/>
          <w:sz w:val="22"/>
          <w:szCs w:val="22"/>
        </w:rPr>
        <w:t>a false representation, whether oral, documentary, or by conduct, where the person making the representation intends to deceive any other person and—</w:t>
      </w:r>
    </w:p>
    <w:p w14:paraId="634AC983" w14:textId="77777777" w:rsidR="000D56BE" w:rsidRPr="00740140" w:rsidRDefault="000D56BE" w:rsidP="000D56BE">
      <w:pPr>
        <w:pStyle w:val="ListParagraph"/>
        <w:numPr>
          <w:ilvl w:val="2"/>
          <w:numId w:val="12"/>
        </w:numPr>
        <w:jc w:val="both"/>
        <w:rPr>
          <w:rFonts w:asciiTheme="minorHAnsi" w:hAnsiTheme="minorHAnsi" w:cstheme="minorHAnsi"/>
          <w:sz w:val="22"/>
          <w:szCs w:val="22"/>
        </w:rPr>
      </w:pPr>
      <w:r w:rsidRPr="00740140">
        <w:rPr>
          <w:rFonts w:asciiTheme="minorHAnsi" w:hAnsiTheme="minorHAnsi" w:cstheme="minorHAnsi"/>
          <w:sz w:val="22"/>
          <w:szCs w:val="22"/>
        </w:rPr>
        <w:t>knows that it is false in a material particular; or</w:t>
      </w:r>
    </w:p>
    <w:p w14:paraId="4721A24C" w14:textId="77777777" w:rsidR="000D56BE" w:rsidRPr="00740140" w:rsidRDefault="000D56BE" w:rsidP="000D56BE">
      <w:pPr>
        <w:pStyle w:val="ListParagraph"/>
        <w:numPr>
          <w:ilvl w:val="2"/>
          <w:numId w:val="12"/>
        </w:numPr>
        <w:jc w:val="both"/>
        <w:rPr>
          <w:rFonts w:asciiTheme="minorHAnsi" w:hAnsiTheme="minorHAnsi" w:cstheme="minorHAnsi"/>
          <w:sz w:val="22"/>
          <w:szCs w:val="22"/>
        </w:rPr>
      </w:pPr>
      <w:r w:rsidRPr="00740140">
        <w:rPr>
          <w:rFonts w:asciiTheme="minorHAnsi" w:hAnsiTheme="minorHAnsi" w:cstheme="minorHAnsi"/>
          <w:sz w:val="22"/>
          <w:szCs w:val="22"/>
        </w:rPr>
        <w:t>is reckless as to whether it is false in a material particular; or</w:t>
      </w:r>
    </w:p>
    <w:p w14:paraId="705C132D" w14:textId="77777777" w:rsidR="000D56BE" w:rsidRPr="00740140" w:rsidRDefault="000D56BE" w:rsidP="000D56BE">
      <w:pPr>
        <w:pStyle w:val="ListParagraph"/>
        <w:numPr>
          <w:ilvl w:val="1"/>
          <w:numId w:val="12"/>
        </w:numPr>
        <w:jc w:val="both"/>
        <w:rPr>
          <w:rFonts w:asciiTheme="minorHAnsi" w:hAnsiTheme="minorHAnsi" w:cstheme="minorHAnsi"/>
          <w:sz w:val="22"/>
          <w:szCs w:val="22"/>
        </w:rPr>
      </w:pPr>
      <w:r w:rsidRPr="00740140">
        <w:rPr>
          <w:rFonts w:asciiTheme="minorHAnsi" w:hAnsiTheme="minorHAnsi" w:cstheme="minorHAnsi"/>
          <w:sz w:val="22"/>
          <w:szCs w:val="22"/>
        </w:rPr>
        <w:t>an omission to disclose a material particular, with intent to deceive any person, in circumstances where there is a duty to disclose it; or</w:t>
      </w:r>
    </w:p>
    <w:p w14:paraId="17588FD3" w14:textId="77777777" w:rsidR="000D56BE" w:rsidRPr="00740140" w:rsidRDefault="000D56BE" w:rsidP="000D56BE">
      <w:pPr>
        <w:pStyle w:val="ListParagraph"/>
        <w:numPr>
          <w:ilvl w:val="1"/>
          <w:numId w:val="12"/>
        </w:numPr>
        <w:jc w:val="both"/>
        <w:rPr>
          <w:rFonts w:asciiTheme="minorHAnsi" w:hAnsiTheme="minorHAnsi" w:cstheme="minorHAnsi"/>
          <w:sz w:val="22"/>
          <w:szCs w:val="22"/>
        </w:rPr>
      </w:pPr>
      <w:r w:rsidRPr="00740140">
        <w:rPr>
          <w:rFonts w:asciiTheme="minorHAnsi" w:hAnsiTheme="minorHAnsi" w:cstheme="minorHAnsi"/>
          <w:sz w:val="22"/>
          <w:szCs w:val="22"/>
        </w:rPr>
        <w:t>a fraudulent device, trick, or stratagem used with intent to deceive any person.</w:t>
      </w:r>
    </w:p>
    <w:p w14:paraId="3B924979" w14:textId="77777777" w:rsidR="000D56BE" w:rsidRDefault="000D56BE" w:rsidP="0045067A">
      <w:pPr>
        <w:keepNext/>
        <w:spacing w:before="120" w:after="0" w:line="240" w:lineRule="auto"/>
        <w:rPr>
          <w:rFonts w:eastAsia="Times New Roman" w:cstheme="minorHAnsi"/>
          <w:bCs/>
          <w:color w:val="242424"/>
          <w:szCs w:val="24"/>
          <w:shd w:val="clear" w:color="auto" w:fill="FFFFFF"/>
          <w:lang w:eastAsia="en-AU"/>
        </w:rPr>
      </w:pPr>
    </w:p>
    <w:p w14:paraId="76198D28" w14:textId="77777777" w:rsidR="000D56BE" w:rsidRPr="00740140" w:rsidRDefault="000D56BE" w:rsidP="000D56BE">
      <w:pPr>
        <w:jc w:val="both"/>
        <w:rPr>
          <w:rFonts w:cstheme="minorHAnsi"/>
          <w:b/>
          <w:u w:val="single"/>
        </w:rPr>
      </w:pPr>
      <w:bookmarkStart w:id="4" w:name="Fraud_s_138"/>
      <w:r>
        <w:rPr>
          <w:rFonts w:cstheme="minorHAnsi"/>
          <w:b/>
          <w:u w:val="single"/>
        </w:rPr>
        <w:t>Bribery: s</w:t>
      </w:r>
      <w:r w:rsidRPr="00740140">
        <w:rPr>
          <w:rFonts w:cstheme="minorHAnsi"/>
          <w:b/>
          <w:u w:val="single"/>
        </w:rPr>
        <w:t xml:space="preserve"> 138. Corruption and Bribery of Official</w:t>
      </w:r>
    </w:p>
    <w:bookmarkEnd w:id="4"/>
    <w:p w14:paraId="4D492E71" w14:textId="77777777" w:rsidR="000D56BE" w:rsidRPr="00740140" w:rsidRDefault="000D56BE" w:rsidP="000D56BE">
      <w:pPr>
        <w:numPr>
          <w:ilvl w:val="0"/>
          <w:numId w:val="6"/>
        </w:numPr>
        <w:spacing w:after="0" w:line="240" w:lineRule="auto"/>
        <w:jc w:val="both"/>
        <w:rPr>
          <w:rFonts w:cstheme="minorHAnsi"/>
        </w:rPr>
      </w:pPr>
      <w:r w:rsidRPr="00740140">
        <w:rPr>
          <w:rFonts w:cstheme="minorHAnsi"/>
        </w:rPr>
        <w:t>An official is liable to imprisonment for a term not exceeding 7 years who, whether within Samoa or another country, corruptly accepts or obtains, or agrees or offers to accept or attempts to obtain, any bribe for himself or herself or any other person in respect of any act done or omitted, or to be done or omitted, by the official in his or her official capacity.</w:t>
      </w:r>
    </w:p>
    <w:p w14:paraId="0B878915" w14:textId="77777777" w:rsidR="000D56BE" w:rsidRPr="00740140" w:rsidRDefault="000D56BE" w:rsidP="000D56BE">
      <w:pPr>
        <w:numPr>
          <w:ilvl w:val="0"/>
          <w:numId w:val="6"/>
        </w:numPr>
        <w:spacing w:after="0" w:line="240" w:lineRule="auto"/>
        <w:jc w:val="both"/>
        <w:rPr>
          <w:rFonts w:cstheme="minorHAnsi"/>
        </w:rPr>
      </w:pPr>
      <w:r w:rsidRPr="00740140">
        <w:rPr>
          <w:rFonts w:cstheme="minorHAnsi"/>
        </w:rPr>
        <w:lastRenderedPageBreak/>
        <w:t>A person is liable to imprisonment for a term not exceeding 7 years who corruptly gives or offers or agrees to give any bribe to any person with intent to influence any official in respect of any act or omission by the official in his or her official capacity.</w:t>
      </w:r>
    </w:p>
    <w:p w14:paraId="69A2B0E9" w14:textId="77777777" w:rsidR="000D56BE" w:rsidRPr="0045067A" w:rsidRDefault="000D56BE" w:rsidP="0045067A">
      <w:pPr>
        <w:keepNext/>
        <w:spacing w:before="120" w:after="0" w:line="240" w:lineRule="auto"/>
        <w:rPr>
          <w:rFonts w:eastAsia="Times New Roman" w:cstheme="minorHAnsi"/>
          <w:bCs/>
          <w:color w:val="242424"/>
          <w:szCs w:val="24"/>
          <w:shd w:val="clear" w:color="auto" w:fill="FFFFFF"/>
          <w:lang w:eastAsia="en-AU"/>
        </w:rPr>
      </w:pPr>
    </w:p>
    <w:p w14:paraId="2169C306" w14:textId="77777777" w:rsidR="0045067A" w:rsidRPr="0045067A" w:rsidRDefault="0045067A" w:rsidP="0045067A">
      <w:pPr>
        <w:keepNext/>
        <w:spacing w:before="120" w:after="0" w:line="240" w:lineRule="auto"/>
        <w:rPr>
          <w:rFonts w:eastAsia="Times New Roman" w:cstheme="minorHAnsi"/>
          <w:bCs/>
          <w:color w:val="242424"/>
          <w:szCs w:val="24"/>
          <w:shd w:val="clear" w:color="auto" w:fill="FFFFFF"/>
          <w:lang w:eastAsia="en-AU"/>
        </w:rPr>
      </w:pPr>
    </w:p>
    <w:tbl>
      <w:tblPr>
        <w:tblStyle w:val="GridTable4-Accent111"/>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03"/>
        <w:gridCol w:w="5108"/>
      </w:tblGrid>
      <w:tr w:rsidR="000D56BE" w:rsidRPr="00B90372" w14:paraId="62A4A163" w14:textId="77777777" w:rsidTr="00DD238F">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6B71A0" w14:textId="77777777" w:rsidR="000D56BE" w:rsidRPr="007C6163" w:rsidRDefault="000D56BE" w:rsidP="00DD238F">
            <w:pPr>
              <w:jc w:val="center"/>
              <w:rPr>
                <w:rFonts w:cstheme="minorHAnsi"/>
                <w:bCs w:val="0"/>
                <w:color w:val="auto"/>
                <w:lang w:val="en-GB"/>
              </w:rPr>
            </w:pPr>
            <w:r w:rsidRPr="007C6163">
              <w:rPr>
                <w:rFonts w:cstheme="minorHAnsi"/>
                <w:bCs w:val="0"/>
                <w:color w:val="auto"/>
                <w:lang w:val="en-GB"/>
              </w:rPr>
              <w:t>Partner Court / Topic</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F30D06" w14:textId="77777777" w:rsidR="000D56BE" w:rsidRPr="007C6163" w:rsidRDefault="000D56BE" w:rsidP="00DD238F">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Fraud</w:t>
            </w:r>
          </w:p>
        </w:tc>
        <w:tc>
          <w:tcPr>
            <w:tcW w:w="5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476970" w14:textId="77777777" w:rsidR="000D56BE" w:rsidRPr="007C6163" w:rsidRDefault="000D56BE" w:rsidP="00DD238F">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Bribery</w:t>
            </w:r>
          </w:p>
        </w:tc>
      </w:tr>
      <w:tr w:rsidR="000D56BE" w:rsidRPr="00B90372" w14:paraId="23B64E19" w14:textId="77777777" w:rsidTr="00DD238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BDD6EE" w:themeFill="accent1" w:themeFillTint="66"/>
          </w:tcPr>
          <w:p w14:paraId="60D0398A" w14:textId="77777777" w:rsidR="000D56BE" w:rsidRPr="005E2D43" w:rsidRDefault="000D56BE" w:rsidP="00DD238F">
            <w:pPr>
              <w:ind w:right="-57"/>
              <w:rPr>
                <w:rFonts w:cstheme="minorHAnsi"/>
                <w:sz w:val="24"/>
                <w:lang w:val="en-GB"/>
              </w:rPr>
            </w:pPr>
            <w:r w:rsidRPr="005E2D43">
              <w:rPr>
                <w:rFonts w:cstheme="minorHAnsi"/>
                <w:sz w:val="24"/>
                <w:lang w:val="en-GB"/>
              </w:rPr>
              <w:t>SAMOA</w:t>
            </w:r>
          </w:p>
        </w:tc>
        <w:tc>
          <w:tcPr>
            <w:tcW w:w="5103" w:type="dxa"/>
            <w:shd w:val="clear" w:color="auto" w:fill="BDD6EE" w:themeFill="accent1" w:themeFillTint="66"/>
          </w:tcPr>
          <w:p w14:paraId="2F3C5686" w14:textId="77777777" w:rsidR="000D56BE" w:rsidRPr="00B90372" w:rsidRDefault="00C5335E" w:rsidP="00DD238F">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hyperlink r:id="rId24" w:history="1">
              <w:r w:rsidR="000D56BE" w:rsidRPr="00B90372">
                <w:rPr>
                  <w:rFonts w:cstheme="minorHAnsi"/>
                  <w:i/>
                  <w:iCs/>
                  <w:color w:val="0000FF"/>
                  <w:sz w:val="20"/>
                  <w:szCs w:val="20"/>
                  <w:u w:val="single"/>
                  <w:lang w:val="en-GB"/>
                </w:rPr>
                <w:t>Crimes Act 2013</w:t>
              </w:r>
            </w:hyperlink>
          </w:p>
        </w:tc>
        <w:tc>
          <w:tcPr>
            <w:tcW w:w="5108" w:type="dxa"/>
            <w:shd w:val="clear" w:color="auto" w:fill="BDD6EE" w:themeFill="accent1" w:themeFillTint="66"/>
          </w:tcPr>
          <w:p w14:paraId="38D02208" w14:textId="77777777" w:rsidR="000D56BE" w:rsidRPr="00B90372" w:rsidRDefault="000D56BE" w:rsidP="00DD238F">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tc>
      </w:tr>
      <w:tr w:rsidR="000D56BE" w:rsidRPr="00B90372" w14:paraId="4640413B" w14:textId="77777777" w:rsidTr="00DD238F">
        <w:trPr>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DEEAF6" w:themeFill="accent1" w:themeFillTint="33"/>
          </w:tcPr>
          <w:p w14:paraId="23DEC99C" w14:textId="77777777" w:rsidR="000D56BE" w:rsidRPr="005E2D43" w:rsidRDefault="000D56BE" w:rsidP="00DD238F">
            <w:pPr>
              <w:ind w:left="57" w:right="-57"/>
              <w:rPr>
                <w:rFonts w:cstheme="minorHAnsi"/>
                <w:i/>
                <w:iCs/>
                <w:lang w:val="en-GB"/>
              </w:rPr>
            </w:pPr>
            <w:r w:rsidRPr="005E2D43">
              <w:rPr>
                <w:rFonts w:cstheme="minorHAnsi"/>
                <w:iCs/>
                <w:lang w:val="en-GB"/>
              </w:rPr>
              <w:t>Legislative Provisions</w:t>
            </w:r>
          </w:p>
        </w:tc>
        <w:tc>
          <w:tcPr>
            <w:tcW w:w="5103" w:type="dxa"/>
            <w:shd w:val="clear" w:color="auto" w:fill="DEEAF6" w:themeFill="accent1" w:themeFillTint="33"/>
          </w:tcPr>
          <w:p w14:paraId="34E925D0" w14:textId="77777777" w:rsidR="000D56BE" w:rsidRPr="00B90372" w:rsidRDefault="000D56BE" w:rsidP="00DD238F">
            <w:pPr>
              <w:ind w:right="-57"/>
              <w:cnfStyle w:val="000000000000" w:firstRow="0" w:lastRow="0" w:firstColumn="0" w:lastColumn="0" w:oddVBand="0" w:evenVBand="0" w:oddHBand="0" w:evenHBand="0" w:firstRowFirstColumn="0" w:firstRowLastColumn="0" w:lastRowFirstColumn="0" w:lastRowLastColumn="0"/>
              <w:rPr>
                <w:rFonts w:cstheme="minorHAnsi"/>
                <w:b/>
                <w:color w:val="FF0000"/>
                <w:sz w:val="20"/>
                <w:szCs w:val="20"/>
                <w:lang w:val="en-GB"/>
              </w:rPr>
            </w:pPr>
            <w:r>
              <w:rPr>
                <w:rFonts w:cstheme="minorHAnsi"/>
                <w:b/>
                <w:iCs/>
                <w:sz w:val="20"/>
                <w:szCs w:val="20"/>
                <w:lang w:val="en-GB"/>
              </w:rPr>
              <w:t>s</w:t>
            </w:r>
            <w:r w:rsidRPr="00B90372">
              <w:rPr>
                <w:rFonts w:cstheme="minorHAnsi"/>
                <w:b/>
                <w:iCs/>
                <w:sz w:val="20"/>
                <w:szCs w:val="20"/>
                <w:lang w:val="en-GB"/>
              </w:rPr>
              <w:t xml:space="preserve"> </w:t>
            </w:r>
            <w:r w:rsidRPr="00B90372">
              <w:rPr>
                <w:rFonts w:cstheme="minorHAnsi"/>
                <w:b/>
                <w:sz w:val="20"/>
                <w:szCs w:val="20"/>
                <w:lang w:val="en-GB"/>
              </w:rPr>
              <w:t>172 Obtaining by deception or causing loss by deception</w:t>
            </w:r>
          </w:p>
        </w:tc>
        <w:tc>
          <w:tcPr>
            <w:tcW w:w="5108" w:type="dxa"/>
            <w:shd w:val="clear" w:color="auto" w:fill="DEEAF6" w:themeFill="accent1" w:themeFillTint="33"/>
          </w:tcPr>
          <w:p w14:paraId="6F5C629E" w14:textId="77777777" w:rsidR="000D56BE" w:rsidRPr="00B90372" w:rsidRDefault="000D56BE" w:rsidP="00DD238F">
            <w:pPr>
              <w:tabs>
                <w:tab w:val="center" w:pos="1397"/>
              </w:tabs>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B90372">
              <w:rPr>
                <w:rFonts w:cstheme="minorHAnsi"/>
                <w:b/>
                <w:iCs/>
                <w:sz w:val="20"/>
                <w:szCs w:val="20"/>
                <w:lang w:val="en-GB"/>
              </w:rPr>
              <w:t xml:space="preserve"> </w:t>
            </w:r>
            <w:r w:rsidRPr="00B90372">
              <w:rPr>
                <w:rFonts w:cstheme="minorHAnsi"/>
                <w:b/>
                <w:sz w:val="20"/>
                <w:szCs w:val="20"/>
                <w:lang w:val="en-GB"/>
              </w:rPr>
              <w:t xml:space="preserve">138 </w:t>
            </w:r>
            <w:r w:rsidRPr="00B90372">
              <w:rPr>
                <w:rFonts w:cstheme="minorHAnsi"/>
                <w:b/>
                <w:sz w:val="20"/>
                <w:szCs w:val="20"/>
                <w:lang w:val="en-GB"/>
              </w:rPr>
              <w:tab/>
              <w:t>Corruption and bribery of official</w:t>
            </w:r>
          </w:p>
        </w:tc>
      </w:tr>
      <w:tr w:rsidR="000D56BE" w:rsidRPr="00B90372" w14:paraId="3F136E72" w14:textId="77777777" w:rsidTr="00DD238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DEEAF6" w:themeFill="accent1" w:themeFillTint="33"/>
          </w:tcPr>
          <w:p w14:paraId="2A135BC3" w14:textId="77777777" w:rsidR="000D56BE" w:rsidRPr="005E2D43" w:rsidRDefault="000D56BE" w:rsidP="00DD238F">
            <w:pPr>
              <w:ind w:left="57" w:right="-57"/>
              <w:rPr>
                <w:rFonts w:cstheme="minorHAnsi"/>
                <w:i/>
                <w:iCs/>
                <w:lang w:val="en-GB"/>
              </w:rPr>
            </w:pPr>
            <w:r w:rsidRPr="005E2D43">
              <w:rPr>
                <w:rFonts w:cstheme="minorHAnsi"/>
                <w:iCs/>
                <w:lang w:val="en-GB"/>
              </w:rPr>
              <w:t>Elements of the Offence</w:t>
            </w:r>
          </w:p>
        </w:tc>
        <w:tc>
          <w:tcPr>
            <w:tcW w:w="5103" w:type="dxa"/>
            <w:shd w:val="clear" w:color="auto" w:fill="DEEAF6" w:themeFill="accent1" w:themeFillTint="33"/>
          </w:tcPr>
          <w:p w14:paraId="43B40DD3" w14:textId="77777777" w:rsidR="000D56BE" w:rsidRPr="00254C71" w:rsidRDefault="000D56BE" w:rsidP="00DD238F">
            <w:pPr>
              <w:ind w:right="-57"/>
              <w:cnfStyle w:val="000000100000" w:firstRow="0" w:lastRow="0" w:firstColumn="0" w:lastColumn="0" w:oddVBand="0" w:evenVBand="0" w:oddHBand="1" w:evenHBand="0" w:firstRowFirstColumn="0" w:firstRowLastColumn="0" w:lastRowFirstColumn="0" w:lastRowLastColumn="0"/>
              <w:rPr>
                <w:rFonts w:cstheme="minorHAnsi"/>
                <w:b/>
                <w:color w:val="FF0000"/>
                <w:sz w:val="20"/>
                <w:szCs w:val="20"/>
                <w:lang w:val="en-GB"/>
              </w:rPr>
            </w:pPr>
            <w:r>
              <w:rPr>
                <w:rFonts w:cstheme="minorHAnsi"/>
                <w:b/>
                <w:iCs/>
                <w:sz w:val="20"/>
                <w:szCs w:val="20"/>
                <w:lang w:val="en-GB"/>
              </w:rPr>
              <w:t>s</w:t>
            </w:r>
            <w:r w:rsidRPr="00254C71">
              <w:rPr>
                <w:rFonts w:cstheme="minorHAnsi"/>
                <w:b/>
                <w:iCs/>
                <w:sz w:val="20"/>
                <w:szCs w:val="20"/>
                <w:lang w:val="en-GB"/>
              </w:rPr>
              <w:t xml:space="preserve"> </w:t>
            </w:r>
            <w:r w:rsidRPr="00254C71">
              <w:rPr>
                <w:rFonts w:cstheme="minorHAnsi"/>
                <w:b/>
                <w:sz w:val="20"/>
                <w:szCs w:val="20"/>
                <w:lang w:val="en-GB"/>
              </w:rPr>
              <w:t>172 Obtaining by deception or causing loss by deception</w:t>
            </w:r>
          </w:p>
          <w:p w14:paraId="6D832427" w14:textId="77777777" w:rsidR="000D56BE" w:rsidRPr="00254C71" w:rsidRDefault="000D56BE" w:rsidP="000D56BE">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5B0ED777" w14:textId="77777777" w:rsidR="000D56BE" w:rsidRPr="00254C71" w:rsidRDefault="000D56BE" w:rsidP="000D56BE">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54C71">
              <w:rPr>
                <w:rFonts w:cstheme="minorHAnsi"/>
                <w:b/>
                <w:sz w:val="20"/>
                <w:szCs w:val="20"/>
                <w:lang w:val="en-GB"/>
              </w:rPr>
              <w:t>A</w:t>
            </w:r>
            <w:r w:rsidRPr="00254C71">
              <w:rPr>
                <w:rFonts w:cstheme="minorHAnsi"/>
                <w:sz w:val="20"/>
                <w:szCs w:val="20"/>
                <w:lang w:val="en-GB"/>
              </w:rPr>
              <w:t xml:space="preserve"> obtains ownership, possession or control over any property</w:t>
            </w:r>
            <w:r>
              <w:rPr>
                <w:rFonts w:cstheme="minorHAnsi"/>
                <w:sz w:val="20"/>
                <w:szCs w:val="20"/>
                <w:lang w:val="en-GB"/>
              </w:rPr>
              <w:t xml:space="preserve">, </w:t>
            </w:r>
            <w:r w:rsidRPr="00254C71">
              <w:rPr>
                <w:rFonts w:cstheme="minorHAnsi"/>
                <w:sz w:val="20"/>
                <w:szCs w:val="20"/>
                <w:lang w:val="en-GB"/>
              </w:rPr>
              <w:t>pecuniary advantage, benefit, or valuable consideration</w:t>
            </w:r>
          </w:p>
          <w:p w14:paraId="636CCE43" w14:textId="77777777" w:rsidR="000D56BE" w:rsidRPr="00126BF6" w:rsidRDefault="000D56BE" w:rsidP="000D56BE">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54C71">
              <w:rPr>
                <w:rFonts w:cstheme="minorHAnsi"/>
                <w:b/>
                <w:sz w:val="20"/>
                <w:szCs w:val="20"/>
                <w:lang w:val="en-GB"/>
              </w:rPr>
              <w:t xml:space="preserve">A </w:t>
            </w:r>
            <w:r w:rsidRPr="00254C71">
              <w:rPr>
                <w:rFonts w:cstheme="minorHAnsi"/>
                <w:sz w:val="20"/>
                <w:szCs w:val="20"/>
                <w:lang w:val="en-GB"/>
              </w:rPr>
              <w:t xml:space="preserve">does so </w:t>
            </w:r>
            <w:r>
              <w:rPr>
                <w:rFonts w:cstheme="minorHAnsi"/>
                <w:sz w:val="20"/>
                <w:szCs w:val="20"/>
                <w:lang w:val="en-GB"/>
              </w:rPr>
              <w:t>by</w:t>
            </w:r>
            <w:r w:rsidRPr="00254C71">
              <w:rPr>
                <w:rFonts w:cstheme="minorHAnsi"/>
                <w:sz w:val="20"/>
                <w:szCs w:val="20"/>
                <w:lang w:val="en-GB"/>
              </w:rPr>
              <w:t xml:space="preserve"> deception </w:t>
            </w:r>
            <w:r>
              <w:rPr>
                <w:rFonts w:cstheme="minorHAnsi"/>
                <w:sz w:val="20"/>
                <w:szCs w:val="20"/>
                <w:lang w:val="en-GB"/>
              </w:rPr>
              <w:t>(defined in s 172(2))</w:t>
            </w:r>
          </w:p>
          <w:p w14:paraId="6031DEF8" w14:textId="77777777" w:rsidR="000D56BE" w:rsidRPr="00B90372" w:rsidRDefault="000D56BE" w:rsidP="00DD238F">
            <w:pPr>
              <w:pStyle w:val="ListParagraph"/>
              <w:ind w:left="227"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7443A8E2" w14:textId="77777777" w:rsidR="000D56BE" w:rsidRPr="00B90372" w:rsidRDefault="000D56BE" w:rsidP="00DD238F">
            <w:pPr>
              <w:pStyle w:val="ListParagraph"/>
              <w:ind w:left="-17514"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62B2C94E" w14:textId="77777777" w:rsidR="000D56BE" w:rsidRPr="00B90372" w:rsidRDefault="000D56BE" w:rsidP="000D56BE">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A</w:t>
            </w:r>
            <w:r w:rsidRPr="00B90372">
              <w:rPr>
                <w:rFonts w:cstheme="minorHAnsi"/>
                <w:sz w:val="20"/>
                <w:szCs w:val="20"/>
                <w:lang w:val="en-GB"/>
              </w:rPr>
              <w:t xml:space="preserve"> does so in respect of any conduct by </w:t>
            </w:r>
            <w:r w:rsidRPr="00B90372">
              <w:rPr>
                <w:rFonts w:cstheme="minorHAnsi"/>
                <w:b/>
                <w:sz w:val="20"/>
                <w:szCs w:val="20"/>
                <w:lang w:val="en-GB"/>
              </w:rPr>
              <w:t>A</w:t>
            </w:r>
            <w:r w:rsidRPr="00B90372">
              <w:rPr>
                <w:rFonts w:cstheme="minorHAnsi"/>
                <w:sz w:val="20"/>
                <w:szCs w:val="20"/>
                <w:lang w:val="en-GB"/>
              </w:rPr>
              <w:t xml:space="preserve"> in </w:t>
            </w:r>
            <w:r w:rsidRPr="00B90372">
              <w:rPr>
                <w:rFonts w:cstheme="minorHAnsi"/>
                <w:b/>
                <w:sz w:val="20"/>
                <w:szCs w:val="20"/>
                <w:lang w:val="en-GB"/>
              </w:rPr>
              <w:t>A</w:t>
            </w:r>
            <w:r w:rsidRPr="00B90372">
              <w:rPr>
                <w:rFonts w:cstheme="minorHAnsi"/>
                <w:sz w:val="20"/>
                <w:szCs w:val="20"/>
                <w:lang w:val="en-GB"/>
              </w:rPr>
              <w:t>’s official capacity</w:t>
            </w:r>
          </w:p>
          <w:p w14:paraId="7FE1A20E" w14:textId="77777777" w:rsidR="000D56BE" w:rsidRPr="00B90372" w:rsidRDefault="000D56BE" w:rsidP="000D56BE">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A</w:t>
            </w:r>
            <w:r w:rsidRPr="00B90372">
              <w:rPr>
                <w:rFonts w:cstheme="minorHAnsi"/>
                <w:sz w:val="20"/>
                <w:szCs w:val="20"/>
                <w:lang w:val="en-GB"/>
              </w:rPr>
              <w:t xml:space="preserve"> does so corruptly</w:t>
            </w:r>
          </w:p>
          <w:p w14:paraId="0E12E26F" w14:textId="77777777" w:rsidR="000D56BE" w:rsidRPr="00846390" w:rsidRDefault="000D56BE" w:rsidP="00DD238F">
            <w:p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p>
        </w:tc>
        <w:tc>
          <w:tcPr>
            <w:tcW w:w="5108" w:type="dxa"/>
            <w:shd w:val="clear" w:color="auto" w:fill="DEEAF6" w:themeFill="accent1" w:themeFillTint="33"/>
          </w:tcPr>
          <w:p w14:paraId="05856CCF" w14:textId="77777777" w:rsidR="000D56BE" w:rsidRDefault="000D56BE" w:rsidP="00DD238F">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B90372">
              <w:rPr>
                <w:rFonts w:cstheme="minorHAnsi"/>
                <w:b/>
                <w:iCs/>
                <w:sz w:val="20"/>
                <w:szCs w:val="20"/>
                <w:lang w:val="en-GB"/>
              </w:rPr>
              <w:t xml:space="preserve"> </w:t>
            </w:r>
            <w:r>
              <w:rPr>
                <w:rFonts w:cstheme="minorHAnsi"/>
                <w:b/>
                <w:sz w:val="20"/>
                <w:szCs w:val="20"/>
                <w:lang w:val="en-GB"/>
              </w:rPr>
              <w:t xml:space="preserve">138 </w:t>
            </w:r>
            <w:r w:rsidRPr="00B90372">
              <w:rPr>
                <w:rFonts w:cstheme="minorHAnsi"/>
                <w:b/>
                <w:sz w:val="20"/>
                <w:szCs w:val="20"/>
                <w:lang w:val="en-GB"/>
              </w:rPr>
              <w:t>Corruption and bribery of official</w:t>
            </w:r>
          </w:p>
          <w:p w14:paraId="6AABE251" w14:textId="77777777" w:rsidR="000D56BE" w:rsidRPr="00B90372" w:rsidRDefault="000D56BE" w:rsidP="000D56BE">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A</w:t>
            </w:r>
            <w:r w:rsidRPr="00B90372">
              <w:rPr>
                <w:rFonts w:cstheme="minorHAnsi"/>
                <w:sz w:val="20"/>
                <w:szCs w:val="20"/>
                <w:lang w:val="en-GB"/>
              </w:rPr>
              <w:t xml:space="preserve"> is an official</w:t>
            </w:r>
          </w:p>
          <w:p w14:paraId="5F162234" w14:textId="77777777" w:rsidR="000D56BE" w:rsidRPr="00B90372" w:rsidRDefault="000D56BE" w:rsidP="000D56BE">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A</w:t>
            </w:r>
            <w:r w:rsidRPr="00B90372">
              <w:rPr>
                <w:rFonts w:cstheme="minorHAnsi"/>
                <w:sz w:val="20"/>
                <w:szCs w:val="20"/>
                <w:lang w:val="en-GB"/>
              </w:rPr>
              <w:t xml:space="preserve"> accepts, obtains, agrees or offers to accept, or attempts to obtain any bribe for any person</w:t>
            </w:r>
          </w:p>
          <w:p w14:paraId="6F2B0A7E" w14:textId="77777777" w:rsidR="000D56BE" w:rsidRPr="00B90372" w:rsidRDefault="000D56BE" w:rsidP="000D56BE">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A</w:t>
            </w:r>
            <w:r w:rsidRPr="00B90372">
              <w:rPr>
                <w:rFonts w:cstheme="minorHAnsi"/>
                <w:sz w:val="20"/>
                <w:szCs w:val="20"/>
                <w:lang w:val="en-GB"/>
              </w:rPr>
              <w:t xml:space="preserve"> does so in respect of any conduct by </w:t>
            </w:r>
            <w:r w:rsidRPr="00B90372">
              <w:rPr>
                <w:rFonts w:cstheme="minorHAnsi"/>
                <w:b/>
                <w:sz w:val="20"/>
                <w:szCs w:val="20"/>
                <w:lang w:val="en-GB"/>
              </w:rPr>
              <w:t>A</w:t>
            </w:r>
            <w:r w:rsidRPr="00B90372">
              <w:rPr>
                <w:rFonts w:cstheme="minorHAnsi"/>
                <w:sz w:val="20"/>
                <w:szCs w:val="20"/>
                <w:lang w:val="en-GB"/>
              </w:rPr>
              <w:t xml:space="preserve"> in </w:t>
            </w:r>
            <w:r w:rsidRPr="00B90372">
              <w:rPr>
                <w:rFonts w:cstheme="minorHAnsi"/>
                <w:b/>
                <w:sz w:val="20"/>
                <w:szCs w:val="20"/>
                <w:lang w:val="en-GB"/>
              </w:rPr>
              <w:t>A</w:t>
            </w:r>
            <w:r w:rsidRPr="00B90372">
              <w:rPr>
                <w:rFonts w:cstheme="minorHAnsi"/>
                <w:sz w:val="20"/>
                <w:szCs w:val="20"/>
                <w:lang w:val="en-GB"/>
              </w:rPr>
              <w:t>’s official capacity</w:t>
            </w:r>
          </w:p>
          <w:p w14:paraId="613E694D" w14:textId="77777777" w:rsidR="000D56BE" w:rsidRPr="00B90372" w:rsidRDefault="000D56BE" w:rsidP="000D56BE">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A</w:t>
            </w:r>
            <w:r w:rsidRPr="00B90372">
              <w:rPr>
                <w:rFonts w:cstheme="minorHAnsi"/>
                <w:sz w:val="20"/>
                <w:szCs w:val="20"/>
                <w:lang w:val="en-GB"/>
              </w:rPr>
              <w:t xml:space="preserve"> does so corruptly</w:t>
            </w:r>
          </w:p>
          <w:p w14:paraId="325A8D9C" w14:textId="77777777" w:rsidR="000D56BE" w:rsidRPr="00B90372" w:rsidRDefault="000D56BE" w:rsidP="00DD238F">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56F75CF5" w14:textId="77777777" w:rsidR="000D56BE" w:rsidRPr="00B90372" w:rsidRDefault="000D56BE" w:rsidP="00DD238F">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sz w:val="20"/>
                <w:szCs w:val="20"/>
                <w:lang w:val="en-GB"/>
              </w:rPr>
              <w:t>ALTERNATIVELY</w:t>
            </w:r>
          </w:p>
          <w:p w14:paraId="6AB60130" w14:textId="77777777" w:rsidR="000D56BE" w:rsidRPr="00B90372" w:rsidRDefault="000D56BE" w:rsidP="000D56BE">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 xml:space="preserve">X </w:t>
            </w:r>
            <w:r w:rsidRPr="00B90372">
              <w:rPr>
                <w:rFonts w:cstheme="minorHAnsi"/>
                <w:sz w:val="20"/>
                <w:szCs w:val="20"/>
                <w:lang w:val="en-GB"/>
              </w:rPr>
              <w:t xml:space="preserve">is an official </w:t>
            </w:r>
          </w:p>
          <w:p w14:paraId="635874A3" w14:textId="77777777" w:rsidR="000D56BE" w:rsidRPr="00B90372" w:rsidRDefault="000D56BE" w:rsidP="000D56BE">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 xml:space="preserve">A </w:t>
            </w:r>
            <w:r w:rsidRPr="00B90372">
              <w:rPr>
                <w:rFonts w:cstheme="minorHAnsi"/>
                <w:sz w:val="20"/>
                <w:szCs w:val="20"/>
                <w:lang w:val="en-GB"/>
              </w:rPr>
              <w:t>gives, offers, or agrees to give any bribe to any person</w:t>
            </w:r>
          </w:p>
          <w:p w14:paraId="537F8820" w14:textId="77777777" w:rsidR="000D56BE" w:rsidRPr="00B90372" w:rsidRDefault="000D56BE" w:rsidP="000D56BE">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 xml:space="preserve">A </w:t>
            </w:r>
            <w:r w:rsidRPr="00B90372">
              <w:rPr>
                <w:rFonts w:cstheme="minorHAnsi"/>
                <w:sz w:val="20"/>
                <w:szCs w:val="20"/>
                <w:lang w:val="en-GB"/>
              </w:rPr>
              <w:t xml:space="preserve">does so with intent to influence </w:t>
            </w:r>
            <w:r w:rsidRPr="00B90372">
              <w:rPr>
                <w:rFonts w:cstheme="minorHAnsi"/>
                <w:b/>
                <w:sz w:val="20"/>
                <w:szCs w:val="20"/>
                <w:lang w:val="en-GB"/>
              </w:rPr>
              <w:t>X</w:t>
            </w:r>
            <w:r w:rsidRPr="00B90372">
              <w:rPr>
                <w:rFonts w:cstheme="minorHAnsi"/>
                <w:sz w:val="20"/>
                <w:szCs w:val="20"/>
                <w:lang w:val="en-GB"/>
              </w:rPr>
              <w:t xml:space="preserve"> in respect of any conduct by </w:t>
            </w:r>
            <w:r w:rsidRPr="00B90372">
              <w:rPr>
                <w:rFonts w:cstheme="minorHAnsi"/>
                <w:b/>
                <w:sz w:val="20"/>
                <w:szCs w:val="20"/>
                <w:lang w:val="en-GB"/>
              </w:rPr>
              <w:t xml:space="preserve">X </w:t>
            </w:r>
            <w:r w:rsidRPr="00B90372">
              <w:rPr>
                <w:rFonts w:cstheme="minorHAnsi"/>
                <w:sz w:val="20"/>
                <w:szCs w:val="20"/>
                <w:lang w:val="en-GB"/>
              </w:rPr>
              <w:t xml:space="preserve">in </w:t>
            </w:r>
            <w:r w:rsidRPr="00B90372">
              <w:rPr>
                <w:rFonts w:cstheme="minorHAnsi"/>
                <w:b/>
                <w:sz w:val="20"/>
                <w:szCs w:val="20"/>
                <w:lang w:val="en-GB"/>
              </w:rPr>
              <w:t>X</w:t>
            </w:r>
            <w:r w:rsidRPr="00B90372">
              <w:rPr>
                <w:rFonts w:cstheme="minorHAnsi"/>
                <w:sz w:val="20"/>
                <w:szCs w:val="20"/>
                <w:lang w:val="en-GB"/>
              </w:rPr>
              <w:t>’s official capacity</w:t>
            </w:r>
          </w:p>
          <w:p w14:paraId="5E961794" w14:textId="77777777" w:rsidR="000D56BE" w:rsidRPr="00B90372" w:rsidRDefault="000D56BE" w:rsidP="000D56BE">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A </w:t>
            </w:r>
            <w:r w:rsidRPr="00B90372">
              <w:rPr>
                <w:rFonts w:cstheme="minorHAnsi"/>
                <w:sz w:val="20"/>
                <w:szCs w:val="20"/>
                <w:lang w:val="en-GB"/>
              </w:rPr>
              <w:t>does so corruptly</w:t>
            </w:r>
          </w:p>
        </w:tc>
      </w:tr>
    </w:tbl>
    <w:p w14:paraId="6780D18B" w14:textId="77777777" w:rsidR="0045067A" w:rsidRPr="0045067A" w:rsidRDefault="0045067A" w:rsidP="0045067A">
      <w:pPr>
        <w:spacing w:after="0" w:line="240" w:lineRule="auto"/>
        <w:jc w:val="both"/>
        <w:rPr>
          <w:rFonts w:eastAsia="Times New Roman" w:cs="Times New Roman"/>
          <w:smallCaps/>
          <w:color w:val="002060"/>
          <w:sz w:val="32"/>
          <w:szCs w:val="32"/>
          <w:lang w:eastAsia="en-AU"/>
        </w:rPr>
        <w:sectPr w:rsidR="0045067A" w:rsidRPr="0045067A" w:rsidSect="00DD238F">
          <w:headerReference w:type="default" r:id="rId25"/>
          <w:footerReference w:type="default" r:id="rId26"/>
          <w:pgSz w:w="16840" w:h="11907" w:orient="landscape" w:code="9"/>
          <w:pgMar w:top="1440" w:right="1440" w:bottom="1440" w:left="1440" w:header="397" w:footer="516" w:gutter="0"/>
          <w:cols w:space="708"/>
          <w:docGrid w:linePitch="360"/>
        </w:sectPr>
      </w:pPr>
    </w:p>
    <w:p w14:paraId="53F3C24C" w14:textId="77777777" w:rsidR="00DD238F" w:rsidRDefault="00DD238F" w:rsidP="00DD238F">
      <w:pPr>
        <w:pStyle w:val="Heading3"/>
        <w:rPr>
          <w:rFonts w:asciiTheme="minorHAnsi" w:eastAsiaTheme="minorEastAsia" w:hAnsiTheme="minorHAnsi" w:cs="Times New Roman"/>
          <w:bCs w:val="0"/>
          <w:color w:val="002060"/>
          <w:kern w:val="32"/>
          <w:sz w:val="28"/>
          <w:szCs w:val="28"/>
          <w:lang w:val="en-US" w:eastAsia="en-US"/>
        </w:rPr>
      </w:pPr>
      <w:bookmarkStart w:id="5" w:name="_Chapter_3:_Summary"/>
      <w:bookmarkEnd w:id="5"/>
    </w:p>
    <w:p w14:paraId="4971C0AA" w14:textId="77777777" w:rsidR="00F118CD" w:rsidRPr="00DD238F" w:rsidRDefault="00DD238F" w:rsidP="005F77BD">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6" w:name="_Chapter_3:_Samoa"/>
      <w:bookmarkEnd w:id="6"/>
      <w:r w:rsidRPr="00DD238F">
        <w:rPr>
          <w:rFonts w:asciiTheme="minorHAnsi" w:eastAsiaTheme="minorEastAsia" w:hAnsiTheme="minorHAnsi" w:cs="Times New Roman"/>
          <w:bCs w:val="0"/>
          <w:color w:val="002060"/>
          <w:kern w:val="32"/>
          <w:sz w:val="28"/>
          <w:szCs w:val="28"/>
          <w:lang w:val="en-US" w:eastAsia="en-US"/>
        </w:rPr>
        <w:t>Chapter 3: Samoa - Elements of the Defences</w:t>
      </w:r>
      <w:bookmarkStart w:id="7" w:name="_Chapter_3:_Summary_1"/>
      <w:bookmarkEnd w:id="7"/>
    </w:p>
    <w:p w14:paraId="2BF9188B" w14:textId="77777777" w:rsidR="005F77BD" w:rsidRDefault="005F77BD" w:rsidP="000E3D98">
      <w:pPr>
        <w:spacing w:after="0" w:line="240" w:lineRule="auto"/>
        <w:rPr>
          <w:rFonts w:eastAsia="Times New Roman" w:cs="Times New Roman"/>
          <w:lang w:eastAsia="en-AU"/>
        </w:rPr>
      </w:pPr>
    </w:p>
    <w:p w14:paraId="0E2F5DB9" w14:textId="77777777" w:rsidR="0045067A" w:rsidRDefault="0045067A" w:rsidP="000E3D98">
      <w:pPr>
        <w:spacing w:after="0" w:line="240" w:lineRule="auto"/>
        <w:rPr>
          <w:rFonts w:eastAsia="Times New Roman" w:cs="Times New Roman"/>
          <w:smallCaps/>
          <w:color w:val="002060"/>
          <w:lang w:eastAsia="en-AU"/>
        </w:rPr>
      </w:pPr>
      <w:r w:rsidRPr="0045067A">
        <w:rPr>
          <w:rFonts w:eastAsia="Times New Roman" w:cs="Times New Roman"/>
          <w:lang w:eastAsia="en-AU"/>
        </w:rPr>
        <w:t xml:space="preserve">Under the two offence categories, the below common defences have been identified across each jurisdiction. The </w:t>
      </w:r>
      <w:r w:rsidRPr="0045067A">
        <w:rPr>
          <w:rFonts w:eastAsia="Times New Roman" w:cs="Times New Roman"/>
          <w:b/>
          <w:color w:val="DB6413"/>
          <w:lang w:eastAsia="en-AU"/>
        </w:rPr>
        <w:t>offence</w:t>
      </w:r>
      <w:r w:rsidRPr="0045067A">
        <w:rPr>
          <w:rFonts w:eastAsia="Times New Roman" w:cs="Times New Roman"/>
          <w:color w:val="00B050"/>
          <w:lang w:eastAsia="en-AU"/>
        </w:rPr>
        <w:t xml:space="preserve"> </w:t>
      </w:r>
      <w:r w:rsidRPr="0045067A">
        <w:rPr>
          <w:rFonts w:eastAsia="Times New Roman" w:cs="Times New Roman"/>
          <w:lang w:eastAsia="en-AU"/>
        </w:rPr>
        <w:t xml:space="preserve">is highlighted by </w:t>
      </w:r>
      <w:r w:rsidRPr="0045067A">
        <w:rPr>
          <w:rFonts w:eastAsia="Times New Roman" w:cs="Times New Roman"/>
          <w:b/>
          <w:color w:val="DB6413"/>
          <w:lang w:eastAsia="en-AU"/>
        </w:rPr>
        <w:t>orange font</w:t>
      </w:r>
      <w:r w:rsidRPr="0045067A">
        <w:rPr>
          <w:rFonts w:eastAsia="Times New Roman" w:cs="Times New Roman"/>
          <w:lang w:eastAsia="en-AU"/>
        </w:rPr>
        <w:t xml:space="preserve">; the </w:t>
      </w:r>
      <w:r w:rsidRPr="0045067A">
        <w:rPr>
          <w:rFonts w:eastAsia="Times New Roman" w:cs="Times New Roman"/>
          <w:b/>
          <w:color w:val="FF3399"/>
          <w:lang w:eastAsia="en-AU"/>
        </w:rPr>
        <w:t>common defence</w:t>
      </w:r>
      <w:r w:rsidRPr="0045067A">
        <w:rPr>
          <w:rFonts w:eastAsia="Times New Roman" w:cs="Times New Roman"/>
          <w:color w:val="FF3399"/>
          <w:lang w:eastAsia="en-AU"/>
        </w:rPr>
        <w:t xml:space="preserve"> </w:t>
      </w:r>
      <w:r w:rsidRPr="0045067A">
        <w:rPr>
          <w:rFonts w:eastAsia="Times New Roman" w:cs="Times New Roman"/>
          <w:lang w:eastAsia="en-AU"/>
        </w:rPr>
        <w:t xml:space="preserve">is identified by </w:t>
      </w:r>
      <w:r w:rsidRPr="0045067A">
        <w:rPr>
          <w:rFonts w:eastAsia="Times New Roman" w:cs="Times New Roman"/>
          <w:b/>
          <w:color w:val="FF3399"/>
          <w:lang w:eastAsia="en-AU"/>
        </w:rPr>
        <w:t xml:space="preserve">pink font </w:t>
      </w:r>
      <w:r w:rsidRPr="0045067A">
        <w:rPr>
          <w:rFonts w:eastAsia="Times New Roman" w:cs="Times New Roman"/>
          <w:lang w:eastAsia="en-AU"/>
        </w:rPr>
        <w:t xml:space="preserve">and the </w:t>
      </w:r>
      <w:r w:rsidRPr="0045067A">
        <w:rPr>
          <w:rFonts w:eastAsia="Times New Roman" w:cs="Times New Roman"/>
          <w:b/>
          <w:color w:val="002060"/>
          <w:lang w:eastAsia="en-AU"/>
        </w:rPr>
        <w:t>elements of the defence</w:t>
      </w:r>
      <w:r w:rsidRPr="0045067A">
        <w:rPr>
          <w:rFonts w:eastAsia="Times New Roman" w:cs="Times New Roman"/>
          <w:color w:val="002060"/>
          <w:lang w:eastAsia="en-AU"/>
        </w:rPr>
        <w:t xml:space="preserve"> </w:t>
      </w:r>
      <w:r w:rsidRPr="0045067A">
        <w:rPr>
          <w:rFonts w:eastAsia="Times New Roman" w:cs="Times New Roman"/>
          <w:lang w:eastAsia="en-AU"/>
        </w:rPr>
        <w:t xml:space="preserve">in </w:t>
      </w:r>
      <w:r w:rsidRPr="0045067A">
        <w:rPr>
          <w:rFonts w:eastAsia="Times New Roman" w:cs="Times New Roman"/>
          <w:b/>
          <w:color w:val="002060"/>
          <w:lang w:eastAsia="en-AU"/>
        </w:rPr>
        <w:t>blue font</w:t>
      </w:r>
      <w:r w:rsidRPr="0045067A">
        <w:rPr>
          <w:rFonts w:eastAsia="Times New Roman" w:cs="Times New Roman"/>
          <w:lang w:eastAsia="en-AU"/>
        </w:rPr>
        <w:t>.</w:t>
      </w:r>
    </w:p>
    <w:p w14:paraId="4A2B31C9" w14:textId="77777777" w:rsidR="000E3D98" w:rsidRPr="0045067A" w:rsidRDefault="000E3D98" w:rsidP="000E3D98">
      <w:pPr>
        <w:spacing w:after="0" w:line="240" w:lineRule="auto"/>
        <w:rPr>
          <w:rFonts w:eastAsia="Times New Roman" w:cs="Times New Roman"/>
          <w:smallCaps/>
          <w:color w:val="002060"/>
          <w:lang w:eastAsia="en-AU"/>
        </w:rPr>
      </w:pPr>
    </w:p>
    <w:tbl>
      <w:tblPr>
        <w:tblStyle w:val="TableGrid"/>
        <w:tblW w:w="0" w:type="auto"/>
        <w:tblLook w:val="04A0" w:firstRow="1" w:lastRow="0" w:firstColumn="1" w:lastColumn="0" w:noHBand="0" w:noVBand="1"/>
      </w:tblPr>
      <w:tblGrid>
        <w:gridCol w:w="5579"/>
        <w:gridCol w:w="8370"/>
      </w:tblGrid>
      <w:tr w:rsidR="002E6D5D" w:rsidRPr="001C4743" w14:paraId="52B2B58C" w14:textId="77777777" w:rsidTr="00DD238F">
        <w:tc>
          <w:tcPr>
            <w:tcW w:w="5579" w:type="dxa"/>
            <w:shd w:val="clear" w:color="auto" w:fill="DEEAF6" w:themeFill="accent1" w:themeFillTint="33"/>
          </w:tcPr>
          <w:p w14:paraId="7621D2F8" w14:textId="77777777" w:rsidR="002E6D5D" w:rsidRPr="001C4743" w:rsidRDefault="002E6D5D" w:rsidP="00DD238F">
            <w:pPr>
              <w:jc w:val="center"/>
              <w:rPr>
                <w:b/>
                <w:bCs/>
              </w:rPr>
            </w:pPr>
            <w:r w:rsidRPr="001C4743">
              <w:rPr>
                <w:b/>
                <w:bCs/>
              </w:rPr>
              <w:t>Fraud</w:t>
            </w:r>
          </w:p>
        </w:tc>
        <w:tc>
          <w:tcPr>
            <w:tcW w:w="8370" w:type="dxa"/>
            <w:shd w:val="clear" w:color="auto" w:fill="DEEAF6" w:themeFill="accent1" w:themeFillTint="33"/>
          </w:tcPr>
          <w:p w14:paraId="0AA763F7" w14:textId="77777777" w:rsidR="002E6D5D" w:rsidRPr="001C4743" w:rsidRDefault="002E6D5D" w:rsidP="00DD238F">
            <w:pPr>
              <w:jc w:val="center"/>
              <w:rPr>
                <w:b/>
                <w:bCs/>
              </w:rPr>
            </w:pPr>
            <w:r w:rsidRPr="001C4743">
              <w:rPr>
                <w:b/>
                <w:bCs/>
              </w:rPr>
              <w:t>Bribery</w:t>
            </w:r>
          </w:p>
        </w:tc>
      </w:tr>
      <w:tr w:rsidR="002E6D5D" w:rsidRPr="001C4743" w14:paraId="683BFEC5" w14:textId="77777777" w:rsidTr="00DD238F">
        <w:tc>
          <w:tcPr>
            <w:tcW w:w="13949" w:type="dxa"/>
            <w:gridSpan w:val="2"/>
            <w:shd w:val="clear" w:color="auto" w:fill="BDD6EE" w:themeFill="accent1" w:themeFillTint="66"/>
          </w:tcPr>
          <w:p w14:paraId="2CEBAC41" w14:textId="77777777" w:rsidR="002E6D5D" w:rsidRPr="001C4743" w:rsidRDefault="002E6D5D" w:rsidP="00DD238F">
            <w:r w:rsidRPr="001C4743">
              <w:rPr>
                <w:rFonts w:cstheme="minorHAnsi"/>
                <w:b/>
                <w:lang w:val="en-GB"/>
              </w:rPr>
              <w:t>SAMOA</w:t>
            </w:r>
          </w:p>
        </w:tc>
      </w:tr>
      <w:tr w:rsidR="002E6D5D" w:rsidRPr="001C4743" w14:paraId="6DD74AA9" w14:textId="77777777" w:rsidTr="00DD238F">
        <w:tc>
          <w:tcPr>
            <w:tcW w:w="13949" w:type="dxa"/>
            <w:gridSpan w:val="2"/>
          </w:tcPr>
          <w:p w14:paraId="60A9BE81" w14:textId="77777777" w:rsidR="002E6D5D" w:rsidRPr="001C4743" w:rsidRDefault="002E6D5D" w:rsidP="00DD238F">
            <w:pPr>
              <w:rPr>
                <w:b/>
              </w:rPr>
            </w:pPr>
            <w:r w:rsidRPr="001C4743">
              <w:rPr>
                <w:b/>
              </w:rPr>
              <w:t>Common defences</w:t>
            </w:r>
          </w:p>
          <w:p w14:paraId="6AFE4D20" w14:textId="77777777" w:rsidR="002E6D5D" w:rsidRPr="002E6D5D" w:rsidRDefault="002E6D5D" w:rsidP="00DD238F">
            <w:pPr>
              <w:ind w:left="49" w:right="171"/>
              <w:rPr>
                <w:b/>
                <w:color w:val="FF3399"/>
              </w:rPr>
            </w:pPr>
            <w:r w:rsidRPr="002E6D5D">
              <w:rPr>
                <w:b/>
                <w:color w:val="FF3399"/>
              </w:rPr>
              <w:t>s 12 (infancy)</w:t>
            </w:r>
          </w:p>
          <w:p w14:paraId="38E1C4E7" w14:textId="77777777" w:rsidR="002E6D5D" w:rsidRPr="001C4743" w:rsidRDefault="002E6D5D" w:rsidP="00DD238F">
            <w:pPr>
              <w:ind w:left="49" w:right="171"/>
              <w:rPr>
                <w:color w:val="002060"/>
              </w:rPr>
            </w:pPr>
            <w:r w:rsidRPr="001C4743">
              <w:rPr>
                <w:color w:val="002060"/>
              </w:rPr>
              <w:t>- &lt; 10 years = cannot be convicted of an offence</w:t>
            </w:r>
          </w:p>
          <w:p w14:paraId="484BAA8F" w14:textId="77777777" w:rsidR="002E6D5D" w:rsidRPr="001C4743" w:rsidRDefault="002E6D5D" w:rsidP="00DD238F">
            <w:pPr>
              <w:ind w:left="49" w:right="171"/>
              <w:rPr>
                <w:color w:val="002060"/>
              </w:rPr>
            </w:pPr>
            <w:r w:rsidRPr="001C4743">
              <w:rPr>
                <w:color w:val="002060"/>
              </w:rPr>
              <w:t>- &gt; 10 years but &lt; 12 years = cannot be convicted unless the person knew that the act or omission was morally wrong or contrary to law</w:t>
            </w:r>
          </w:p>
          <w:p w14:paraId="19DB0538" w14:textId="77777777" w:rsidR="002E6D5D" w:rsidRPr="002E6D5D" w:rsidRDefault="002E6D5D" w:rsidP="00DD238F">
            <w:pPr>
              <w:ind w:left="49" w:right="171"/>
              <w:rPr>
                <w:b/>
                <w:color w:val="FF3399"/>
              </w:rPr>
            </w:pPr>
            <w:r w:rsidRPr="002E6D5D">
              <w:rPr>
                <w:b/>
                <w:color w:val="FF3399"/>
              </w:rPr>
              <w:t>s 13 (insanity)</w:t>
            </w:r>
          </w:p>
          <w:p w14:paraId="026403F3" w14:textId="77777777" w:rsidR="002E6D5D" w:rsidRPr="001C4743" w:rsidRDefault="002E6D5D" w:rsidP="00DD238F">
            <w:pPr>
              <w:ind w:left="49" w:right="171"/>
              <w:rPr>
                <w:color w:val="002060"/>
              </w:rPr>
            </w:pPr>
            <w:r w:rsidRPr="001C4743">
              <w:rPr>
                <w:color w:val="002060"/>
              </w:rPr>
              <w:t>- no criminal responsibility for any act done or omitted to be done when suffering from a mental defect or mental disorder rending the person incapable:</w:t>
            </w:r>
            <w:r w:rsidRPr="001C4743">
              <w:rPr>
                <w:color w:val="002060"/>
              </w:rPr>
              <w:br/>
              <w:t>(a) of knowing what they are doing or omitting to do;</w:t>
            </w:r>
          </w:p>
          <w:p w14:paraId="51F82325" w14:textId="77777777" w:rsidR="002E6D5D" w:rsidRPr="001C4743" w:rsidRDefault="002E6D5D" w:rsidP="00DD238F">
            <w:pPr>
              <w:ind w:left="49" w:right="171"/>
              <w:rPr>
                <w:color w:val="002060"/>
              </w:rPr>
            </w:pPr>
            <w:r w:rsidRPr="001C4743">
              <w:rPr>
                <w:color w:val="002060"/>
              </w:rPr>
              <w:t>(b) of attributing that act or omission the same moral character that members of the community generally attribute to that act or omission</w:t>
            </w:r>
          </w:p>
          <w:p w14:paraId="3769202E" w14:textId="77777777" w:rsidR="002E6D5D" w:rsidRPr="002E6D5D" w:rsidRDefault="002E6D5D" w:rsidP="00DD238F">
            <w:pPr>
              <w:ind w:left="49" w:right="171"/>
              <w:rPr>
                <w:b/>
                <w:color w:val="FF3399"/>
              </w:rPr>
            </w:pPr>
            <w:r w:rsidRPr="002E6D5D">
              <w:rPr>
                <w:b/>
                <w:color w:val="FF3399"/>
              </w:rPr>
              <w:t>s 14 (compulsion)</w:t>
            </w:r>
          </w:p>
          <w:p w14:paraId="5704581B" w14:textId="77777777" w:rsidR="002E6D5D" w:rsidRPr="001C4743" w:rsidRDefault="002E6D5D" w:rsidP="00DD238F">
            <w:pPr>
              <w:ind w:left="49" w:right="171"/>
              <w:rPr>
                <w:color w:val="002060"/>
              </w:rPr>
            </w:pPr>
            <w:r w:rsidRPr="001C4743">
              <w:rPr>
                <w:color w:val="002060"/>
              </w:rPr>
              <w:t>- no criminal responsibility if offence committed under compulsion arising from threats of immediate death or serious bodily harm from a person who is present when the offence is committed</w:t>
            </w:r>
          </w:p>
          <w:p w14:paraId="5CB4E404" w14:textId="77777777" w:rsidR="002E6D5D" w:rsidRPr="001C4743" w:rsidRDefault="002E6D5D" w:rsidP="00DD238F">
            <w:pPr>
              <w:ind w:left="49" w:right="171"/>
              <w:rPr>
                <w:color w:val="002060"/>
              </w:rPr>
            </w:pPr>
            <w:r w:rsidRPr="001C4743">
              <w:rPr>
                <w:color w:val="002060"/>
              </w:rPr>
              <w:t>- person must believe that the threat will be carried out</w:t>
            </w:r>
          </w:p>
          <w:p w14:paraId="229C4FFC" w14:textId="77777777" w:rsidR="002E6D5D" w:rsidRPr="001C4743" w:rsidRDefault="002E6D5D" w:rsidP="00DD238F">
            <w:pPr>
              <w:ind w:left="49" w:right="171"/>
              <w:rPr>
                <w:color w:val="002060"/>
              </w:rPr>
            </w:pPr>
            <w:r w:rsidRPr="001C4743">
              <w:rPr>
                <w:color w:val="002060"/>
              </w:rPr>
              <w:t>- person must not be a party to any association or conspiracy from which the compulsion arises or was a foreseeable consequence</w:t>
            </w:r>
          </w:p>
          <w:p w14:paraId="61B54AEA" w14:textId="77777777" w:rsidR="002E6D5D" w:rsidRPr="001C4743" w:rsidRDefault="002E6D5D" w:rsidP="00DD238F">
            <w:pPr>
              <w:ind w:left="49" w:right="171"/>
              <w:rPr>
                <w:color w:val="002060"/>
              </w:rPr>
            </w:pPr>
            <w:r w:rsidRPr="001C4743">
              <w:rPr>
                <w:color w:val="002060"/>
              </w:rPr>
              <w:t>- does not apply to certain offences including, inter alia, treason, sabotage, abduction, robbery, etc</w:t>
            </w:r>
          </w:p>
          <w:p w14:paraId="0307E115" w14:textId="77777777" w:rsidR="002E6D5D" w:rsidRPr="002E6D5D" w:rsidRDefault="002E6D5D" w:rsidP="00DD238F">
            <w:pPr>
              <w:ind w:left="49" w:right="171"/>
              <w:rPr>
                <w:b/>
                <w:color w:val="FF3399"/>
              </w:rPr>
            </w:pPr>
            <w:r w:rsidRPr="002E6D5D">
              <w:rPr>
                <w:b/>
                <w:color w:val="FF3399"/>
              </w:rPr>
              <w:t>s 17 (self-defence)</w:t>
            </w:r>
          </w:p>
          <w:p w14:paraId="60528F96" w14:textId="77777777" w:rsidR="002E6D5D" w:rsidRPr="001C4743" w:rsidRDefault="002E6D5D" w:rsidP="00DD238F">
            <w:pPr>
              <w:ind w:left="49" w:right="171"/>
              <w:rPr>
                <w:color w:val="002060"/>
              </w:rPr>
            </w:pPr>
            <w:r w:rsidRPr="001C4743">
              <w:rPr>
                <w:color w:val="002060"/>
              </w:rPr>
              <w:t>- justified to repel force if:</w:t>
            </w:r>
          </w:p>
          <w:p w14:paraId="5A5B46BC" w14:textId="77777777" w:rsidR="002E6D5D" w:rsidRPr="001C4743" w:rsidRDefault="002E6D5D" w:rsidP="00DD238F">
            <w:pPr>
              <w:ind w:left="49" w:right="171"/>
              <w:rPr>
                <w:color w:val="002060"/>
              </w:rPr>
            </w:pPr>
            <w:r w:rsidRPr="001C4743">
              <w:rPr>
                <w:color w:val="002060"/>
              </w:rPr>
              <w:t>(1) unlawfully assaulted;</w:t>
            </w:r>
          </w:p>
          <w:p w14:paraId="7AB57196" w14:textId="77777777" w:rsidR="002E6D5D" w:rsidRPr="001C4743" w:rsidRDefault="002E6D5D" w:rsidP="00DD238F">
            <w:pPr>
              <w:ind w:left="49" w:right="171"/>
              <w:rPr>
                <w:color w:val="002060"/>
              </w:rPr>
            </w:pPr>
            <w:r w:rsidRPr="001C4743">
              <w:rPr>
                <w:color w:val="002060"/>
              </w:rPr>
              <w:t>(2) not having provoked the assault by any blows, words or gestures;</w:t>
            </w:r>
          </w:p>
          <w:p w14:paraId="1DD378C9" w14:textId="77777777" w:rsidR="002E6D5D" w:rsidRPr="001C4743" w:rsidRDefault="002E6D5D" w:rsidP="00DD238F">
            <w:pPr>
              <w:ind w:left="49" w:right="171"/>
              <w:rPr>
                <w:color w:val="002060"/>
              </w:rPr>
            </w:pPr>
            <w:r w:rsidRPr="001C4743">
              <w:rPr>
                <w:color w:val="002060"/>
              </w:rPr>
              <w:t>(3) reasonable apprehension of death or grievous bodily harm, did not intend to kill or do grievous bodily harm, and before force used, has declined further conflict and quitted or retreated from it as far as practicable</w:t>
            </w:r>
          </w:p>
          <w:p w14:paraId="54CD8312" w14:textId="77777777" w:rsidR="002E6D5D" w:rsidRPr="001C4743" w:rsidRDefault="002E6D5D" w:rsidP="00DD238F">
            <w:pPr>
              <w:ind w:left="49" w:right="171"/>
              <w:rPr>
                <w:color w:val="002060"/>
              </w:rPr>
            </w:pPr>
            <w:r w:rsidRPr="001C4743">
              <w:rPr>
                <w:color w:val="002060"/>
              </w:rPr>
              <w:t>(4) any force is not meant to cause death or grievous bodily harm, and no more necessary to prevent the assault or the repetition of it</w:t>
            </w:r>
          </w:p>
          <w:p w14:paraId="6B2A3163" w14:textId="77777777" w:rsidR="002E6D5D" w:rsidRPr="002E6D5D" w:rsidRDefault="002E6D5D" w:rsidP="00DD238F">
            <w:pPr>
              <w:ind w:left="49" w:right="171"/>
              <w:rPr>
                <w:b/>
                <w:color w:val="FF3399"/>
              </w:rPr>
            </w:pPr>
            <w:r w:rsidRPr="002E6D5D">
              <w:rPr>
                <w:b/>
                <w:color w:val="FF3399"/>
              </w:rPr>
              <w:lastRenderedPageBreak/>
              <w:t>ss 18 to 20 (defence of dwelling house, land or building or moveable property)</w:t>
            </w:r>
          </w:p>
          <w:p w14:paraId="4CB599BA" w14:textId="77777777" w:rsidR="002E6D5D" w:rsidRPr="001C4743" w:rsidRDefault="002E6D5D" w:rsidP="00DD238F">
            <w:r w:rsidRPr="001C4743">
              <w:rPr>
                <w:color w:val="002060"/>
              </w:rPr>
              <w:t>- defences justifying the use of reasonable force as is necessary in the circumstances</w:t>
            </w:r>
          </w:p>
        </w:tc>
      </w:tr>
      <w:tr w:rsidR="002E6D5D" w:rsidRPr="001C4743" w14:paraId="69F000C7" w14:textId="77777777" w:rsidTr="00DD238F">
        <w:tc>
          <w:tcPr>
            <w:tcW w:w="5579" w:type="dxa"/>
          </w:tcPr>
          <w:p w14:paraId="77582A48" w14:textId="77777777" w:rsidR="002E6D5D" w:rsidRPr="002E6D5D" w:rsidRDefault="002E6D5D" w:rsidP="00DD238F">
            <w:pPr>
              <w:rPr>
                <w:b/>
                <w:color w:val="ED7D31" w:themeColor="accent2"/>
                <w:sz w:val="21"/>
                <w:szCs w:val="21"/>
              </w:rPr>
            </w:pPr>
            <w:r w:rsidRPr="002E6D5D">
              <w:rPr>
                <w:b/>
                <w:color w:val="ED7D31" w:themeColor="accent2"/>
                <w:sz w:val="21"/>
                <w:szCs w:val="21"/>
              </w:rPr>
              <w:lastRenderedPageBreak/>
              <w:t>s 172 (obtaining by deception or causing loss by deception)</w:t>
            </w:r>
          </w:p>
          <w:p w14:paraId="0C5AF3C9" w14:textId="77777777" w:rsidR="002E6D5D" w:rsidRPr="001C4743" w:rsidRDefault="002E6D5D" w:rsidP="00DD238F">
            <w:pPr>
              <w:rPr>
                <w:sz w:val="21"/>
                <w:szCs w:val="21"/>
              </w:rPr>
            </w:pPr>
            <w:r w:rsidRPr="001C4743">
              <w:rPr>
                <w:color w:val="002060"/>
                <w:sz w:val="21"/>
                <w:szCs w:val="21"/>
              </w:rPr>
              <w:t>- No express defences</w:t>
            </w:r>
          </w:p>
        </w:tc>
        <w:tc>
          <w:tcPr>
            <w:tcW w:w="8370" w:type="dxa"/>
          </w:tcPr>
          <w:p w14:paraId="18472197" w14:textId="77777777" w:rsidR="002E6D5D" w:rsidRPr="002E6D5D" w:rsidRDefault="002E6D5D" w:rsidP="00DD238F">
            <w:pPr>
              <w:rPr>
                <w:b/>
                <w:color w:val="ED7D31" w:themeColor="accent2"/>
                <w:sz w:val="21"/>
                <w:szCs w:val="21"/>
              </w:rPr>
            </w:pPr>
            <w:r w:rsidRPr="002E6D5D">
              <w:rPr>
                <w:b/>
                <w:color w:val="ED7D31" w:themeColor="accent2"/>
                <w:sz w:val="21"/>
                <w:szCs w:val="21"/>
              </w:rPr>
              <w:t>s 138 (corruption and bribery of official)</w:t>
            </w:r>
          </w:p>
          <w:p w14:paraId="7BE060D7" w14:textId="77777777" w:rsidR="002E6D5D" w:rsidRPr="001C4743" w:rsidRDefault="002E6D5D" w:rsidP="00DD238F">
            <w:pPr>
              <w:rPr>
                <w:sz w:val="21"/>
                <w:szCs w:val="21"/>
              </w:rPr>
            </w:pPr>
            <w:r w:rsidRPr="001C4743">
              <w:rPr>
                <w:color w:val="002060"/>
                <w:sz w:val="21"/>
                <w:szCs w:val="21"/>
              </w:rPr>
              <w:t>- No express defences</w:t>
            </w:r>
          </w:p>
        </w:tc>
      </w:tr>
    </w:tbl>
    <w:p w14:paraId="375AC90E" w14:textId="77777777" w:rsidR="0045067A" w:rsidRPr="0045067A" w:rsidRDefault="0045067A" w:rsidP="0045067A">
      <w:pPr>
        <w:spacing w:after="0" w:line="240" w:lineRule="auto"/>
        <w:jc w:val="both"/>
        <w:rPr>
          <w:rFonts w:eastAsia="Times New Roman" w:cs="Times New Roman"/>
          <w:smallCaps/>
          <w:color w:val="002060"/>
          <w:sz w:val="32"/>
          <w:szCs w:val="32"/>
          <w:lang w:eastAsia="en-AU"/>
        </w:rPr>
        <w:sectPr w:rsidR="0045067A" w:rsidRPr="0045067A" w:rsidSect="00DD238F">
          <w:headerReference w:type="default" r:id="rId27"/>
          <w:footerReference w:type="default" r:id="rId28"/>
          <w:pgSz w:w="16840" w:h="11907" w:orient="landscape" w:code="9"/>
          <w:pgMar w:top="1440" w:right="1440" w:bottom="1440" w:left="1440" w:header="397" w:footer="516" w:gutter="0"/>
          <w:cols w:space="708"/>
          <w:docGrid w:linePitch="360"/>
        </w:sectPr>
      </w:pPr>
    </w:p>
    <w:p w14:paraId="30DFF41B" w14:textId="77777777" w:rsidR="0045067A" w:rsidRPr="00EC7106" w:rsidRDefault="0045067A" w:rsidP="00EC7106">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8" w:name="_Chapter_4:_Evidentiary"/>
      <w:bookmarkEnd w:id="8"/>
      <w:r w:rsidRPr="00EC7106">
        <w:rPr>
          <w:rFonts w:asciiTheme="minorHAnsi" w:eastAsiaTheme="minorEastAsia" w:hAnsiTheme="minorHAnsi" w:cs="Times New Roman"/>
          <w:bCs w:val="0"/>
          <w:color w:val="002060"/>
          <w:kern w:val="32"/>
          <w:sz w:val="28"/>
          <w:szCs w:val="28"/>
          <w:lang w:val="en-US" w:eastAsia="en-US"/>
        </w:rPr>
        <w:lastRenderedPageBreak/>
        <w:t>Chapter 4: Evidentiary issues</w:t>
      </w:r>
    </w:p>
    <w:p w14:paraId="1AA4775E" w14:textId="77777777" w:rsidR="0045067A" w:rsidRPr="00EC7106" w:rsidRDefault="0045067A" w:rsidP="0045067A">
      <w:pPr>
        <w:spacing w:after="0" w:line="240" w:lineRule="auto"/>
        <w:rPr>
          <w:rFonts w:eastAsiaTheme="minorEastAsia" w:cs="Times New Roman"/>
          <w:b/>
          <w:color w:val="002060"/>
          <w:kern w:val="32"/>
          <w:sz w:val="28"/>
          <w:szCs w:val="28"/>
          <w:lang w:val="en-US"/>
        </w:rPr>
      </w:pPr>
    </w:p>
    <w:p w14:paraId="32841688" w14:textId="77777777" w:rsidR="0045067A" w:rsidRPr="0045067A" w:rsidRDefault="0045067A" w:rsidP="0045067A">
      <w:pPr>
        <w:spacing w:after="0" w:line="240" w:lineRule="auto"/>
        <w:rPr>
          <w:rFonts w:eastAsiaTheme="minorEastAsia" w:cs="Times New Roman"/>
          <w:sz w:val="23"/>
          <w:szCs w:val="24"/>
          <w:lang w:val="en-US"/>
        </w:rPr>
      </w:pPr>
      <w:r w:rsidRPr="0045067A">
        <w:rPr>
          <w:rFonts w:eastAsiaTheme="minorEastAsia" w:cs="Times New Roman"/>
          <w:sz w:val="23"/>
          <w:szCs w:val="24"/>
          <w:lang w:val="en-US"/>
        </w:rPr>
        <w:t xml:space="preserve">From the PJIP needs assessment and ongoing discussions with Partner Courts, the following evidentiary issues were identified. </w:t>
      </w:r>
    </w:p>
    <w:p w14:paraId="106140E4" w14:textId="77777777" w:rsidR="0045067A" w:rsidRPr="0045067A" w:rsidRDefault="0045067A" w:rsidP="0045067A">
      <w:pPr>
        <w:spacing w:after="0" w:line="240" w:lineRule="auto"/>
        <w:rPr>
          <w:rFonts w:eastAsiaTheme="minorEastAsia" w:cs="Times New Roman"/>
          <w:sz w:val="23"/>
          <w:szCs w:val="24"/>
          <w:lang w:val="en-US"/>
        </w:rPr>
      </w:pPr>
    </w:p>
    <w:p w14:paraId="7E032A5D" w14:textId="77777777" w:rsidR="0045067A" w:rsidRPr="0045067A" w:rsidRDefault="0045067A" w:rsidP="0045067A">
      <w:pPr>
        <w:spacing w:after="0" w:line="240" w:lineRule="auto"/>
        <w:rPr>
          <w:rFonts w:eastAsiaTheme="minorEastAsia" w:cs="Times New Roman"/>
          <w:sz w:val="23"/>
          <w:szCs w:val="24"/>
          <w:lang w:val="en-US"/>
        </w:rPr>
      </w:pPr>
      <w:r w:rsidRPr="0045067A">
        <w:rPr>
          <w:rFonts w:eastAsiaTheme="minorEastAsia" w:cs="Times New Roman"/>
          <w:sz w:val="23"/>
          <w:szCs w:val="24"/>
          <w:lang w:val="en-US"/>
        </w:rPr>
        <w:t xml:space="preserve">A summary of the similarities and differences between the jurisdictions are discussed below. </w:t>
      </w:r>
    </w:p>
    <w:p w14:paraId="5A7D332F" w14:textId="77777777" w:rsidR="0045067A" w:rsidRPr="0045067A" w:rsidRDefault="0045067A" w:rsidP="0045067A">
      <w:pPr>
        <w:spacing w:after="0" w:line="240" w:lineRule="auto"/>
        <w:rPr>
          <w:rFonts w:eastAsiaTheme="minorEastAsia" w:cs="Times New Roman"/>
          <w:sz w:val="23"/>
          <w:szCs w:val="24"/>
          <w:lang w:val="en-US"/>
        </w:rPr>
      </w:pPr>
    </w:p>
    <w:p w14:paraId="10218697" w14:textId="77777777" w:rsidR="0045067A" w:rsidRPr="008344EB" w:rsidRDefault="0045067A" w:rsidP="0045067A">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8344EB">
        <w:rPr>
          <w:rFonts w:eastAsiaTheme="minorEastAsia" w:cs="Times New Roman"/>
          <w:b/>
          <w:color w:val="002060"/>
          <w:kern w:val="32"/>
          <w:sz w:val="28"/>
          <w:szCs w:val="28"/>
          <w:lang w:val="en-US"/>
        </w:rPr>
        <w:t>Exceptions to Hearsay – Bankers’ books &amp; business records</w:t>
      </w:r>
    </w:p>
    <w:p w14:paraId="713513A3" w14:textId="77777777" w:rsidR="0045067A" w:rsidRPr="0045067A" w:rsidRDefault="0045067A" w:rsidP="0045067A">
      <w:pPr>
        <w:spacing w:after="0" w:line="240" w:lineRule="auto"/>
        <w:jc w:val="both"/>
        <w:rPr>
          <w:rFonts w:eastAsia="Times New Roman" w:cstheme="minorHAnsi"/>
          <w:iCs/>
          <w:lang w:eastAsia="en-AU"/>
        </w:rPr>
      </w:pPr>
    </w:p>
    <w:p w14:paraId="1C3F4AAE" w14:textId="77777777" w:rsidR="0045067A" w:rsidRPr="0045067A" w:rsidRDefault="0045067A" w:rsidP="0045067A">
      <w:pPr>
        <w:spacing w:after="0" w:line="240" w:lineRule="auto"/>
        <w:jc w:val="both"/>
        <w:rPr>
          <w:rFonts w:eastAsia="Times New Roman" w:cstheme="minorHAnsi"/>
          <w:iCs/>
          <w:lang w:eastAsia="en-AU"/>
        </w:rPr>
      </w:pPr>
      <w:r w:rsidRPr="0045067A">
        <w:rPr>
          <w:rFonts w:eastAsia="Times New Roman" w:cstheme="minorHAnsi"/>
          <w:iCs/>
          <w:lang w:eastAsia="en-AU"/>
        </w:rPr>
        <w:t xml:space="preserve">In all jurisdictions, there are statutory or common law exceptions to the rule against hearsay evidence. Most jurisdictions (Federated States of Micronesia, Kiribati, Palau, Republic of Marshall Islands, Samoa, Solomon Islands, Tonga, Fiji and Papua New Guinea) have statutory provisions pertaining to the admissibility of business records or bankers’ books. In six jurisdictions (Federated States of Micronesia, Palau, Republic of Marshall Islands, Samoa, Solomon Islands and Tonga) these provisions are framed as exceptions to the rule against hearsay evidence. In Fiji and Papua New Guinea, the relevant legislation contains provisions regarding the admissibility of trade or business records more generally. However, it is likely that hearsay evidence would be admitted pursuant to these provisions. </w:t>
      </w:r>
    </w:p>
    <w:p w14:paraId="4320AF6E" w14:textId="77777777" w:rsidR="0045067A" w:rsidRPr="0045067A" w:rsidRDefault="0045067A" w:rsidP="0045067A">
      <w:pPr>
        <w:spacing w:after="0" w:line="240" w:lineRule="auto"/>
        <w:jc w:val="both"/>
        <w:rPr>
          <w:rFonts w:eastAsia="Times New Roman" w:cstheme="minorHAnsi"/>
          <w:iCs/>
          <w:lang w:eastAsia="en-AU"/>
        </w:rPr>
      </w:pPr>
    </w:p>
    <w:p w14:paraId="57F6EDF8" w14:textId="77777777" w:rsidR="0045067A" w:rsidRPr="0045067A" w:rsidRDefault="0045067A" w:rsidP="0045067A">
      <w:pPr>
        <w:spacing w:after="0" w:line="240" w:lineRule="auto"/>
        <w:jc w:val="both"/>
        <w:rPr>
          <w:rFonts w:eastAsia="Times New Roman" w:cstheme="minorHAnsi"/>
          <w:iCs/>
          <w:lang w:eastAsia="en-AU"/>
        </w:rPr>
      </w:pPr>
      <w:r w:rsidRPr="0045067A">
        <w:rPr>
          <w:rFonts w:eastAsia="Times New Roman" w:cstheme="minorHAnsi"/>
          <w:iCs/>
          <w:lang w:eastAsia="en-AU"/>
        </w:rPr>
        <w:t xml:space="preserve">The Federated States of Micronesia, Palau and the Republic of Marshall Islands have provisions which are almost identical. For the exception to apply to business records, two conditions must be established by the testimony of the custodian of the records, another qualified witnesses or, in the Republic of Marshall Islands only, a permitted certificate submitted to the court. First, the records were kept in the course of a regularly conducted business activity. Second, it was the regular practice of that business to make those records. Similar conditions are required in Fiji, Papua New Guinea, Samoa, Solomon Islands and Tonga. </w:t>
      </w:r>
    </w:p>
    <w:p w14:paraId="37142939" w14:textId="77777777" w:rsidR="0045067A" w:rsidRPr="0045067A" w:rsidRDefault="0045067A" w:rsidP="0045067A">
      <w:pPr>
        <w:spacing w:after="0" w:line="240" w:lineRule="auto"/>
        <w:jc w:val="both"/>
        <w:rPr>
          <w:rFonts w:eastAsia="Times New Roman" w:cstheme="minorHAnsi"/>
          <w:iCs/>
          <w:lang w:eastAsia="en-AU"/>
        </w:rPr>
      </w:pPr>
    </w:p>
    <w:p w14:paraId="1B7E394A" w14:textId="77777777" w:rsidR="0045067A" w:rsidRPr="0045067A" w:rsidRDefault="0045067A" w:rsidP="0045067A">
      <w:pPr>
        <w:spacing w:after="0" w:line="240" w:lineRule="auto"/>
        <w:jc w:val="both"/>
        <w:rPr>
          <w:rFonts w:eastAsia="Times New Roman" w:cstheme="minorHAnsi"/>
          <w:iCs/>
          <w:lang w:val="en-GB" w:eastAsia="en-AU"/>
        </w:rPr>
      </w:pPr>
      <w:r w:rsidRPr="0045067A">
        <w:rPr>
          <w:rFonts w:eastAsia="Times New Roman" w:cstheme="minorHAnsi"/>
          <w:iCs/>
          <w:lang w:eastAsia="en-AU"/>
        </w:rPr>
        <w:t xml:space="preserve">In addition to these requirements, three jurisdictions (Fiji, Tonga, and Samoa) specify that witnesses must not be available before the business records can be admitted. In Fiji, the person who supplied the statement in the record must be either dead, unfit to give evidence as a witness, missing or cannot be reasonably expected to have any recollection of the matters dealt contained in the record. Samoa’s legislation contains similar provisions and two additional alternatives. Specifically, that the Judge may consider first, that the witness would not be useful to the proceedings as the </w:t>
      </w:r>
      <w:r w:rsidRPr="0045067A">
        <w:rPr>
          <w:rFonts w:eastAsia="Times New Roman" w:cstheme="minorHAnsi"/>
          <w:iCs/>
          <w:lang w:val="en-GB" w:eastAsia="en-AU"/>
        </w:rPr>
        <w:t>person cannot be reasonably expected to recollect the matters dealt with in the record or secondly, it would cause undue expense or delay if the person were required to be a witness.</w:t>
      </w:r>
    </w:p>
    <w:p w14:paraId="54688D98" w14:textId="77777777" w:rsidR="0045067A" w:rsidRPr="0045067A" w:rsidRDefault="0045067A" w:rsidP="0045067A">
      <w:pPr>
        <w:spacing w:after="0" w:line="240" w:lineRule="auto"/>
        <w:jc w:val="both"/>
        <w:rPr>
          <w:rFonts w:eastAsia="Times New Roman" w:cstheme="minorHAnsi"/>
          <w:iCs/>
          <w:lang w:val="en-GB" w:eastAsia="en-AU"/>
        </w:rPr>
      </w:pPr>
    </w:p>
    <w:p w14:paraId="4A0CE586" w14:textId="77777777" w:rsidR="0045067A" w:rsidRPr="0045067A" w:rsidRDefault="0045067A" w:rsidP="0045067A">
      <w:pPr>
        <w:spacing w:after="0" w:line="240" w:lineRule="auto"/>
        <w:jc w:val="both"/>
        <w:rPr>
          <w:rFonts w:eastAsia="Times New Roman" w:cstheme="minorHAnsi"/>
          <w:iCs/>
          <w:lang w:val="en-GB" w:eastAsia="en-AU"/>
        </w:rPr>
      </w:pPr>
      <w:r w:rsidRPr="0045067A">
        <w:rPr>
          <w:rFonts w:eastAsia="Times New Roman" w:cstheme="minorHAnsi"/>
          <w:iCs/>
          <w:lang w:eastAsia="en-AU"/>
        </w:rPr>
        <w:t>Papua New Guinea</w:t>
      </w:r>
      <w:r w:rsidRPr="0045067A">
        <w:rPr>
          <w:rFonts w:eastAsia="Times New Roman" w:cstheme="minorHAnsi"/>
          <w:iCs/>
          <w:lang w:val="en-GB" w:eastAsia="en-AU"/>
        </w:rPr>
        <w:t xml:space="preserve">’s provisions specify that the court is not required to admit business records if, having regarding to all of the relevant circumstances, it would not be in the interests of justice to do so. </w:t>
      </w:r>
      <w:r w:rsidRPr="0045067A">
        <w:rPr>
          <w:rFonts w:eastAsia="Times New Roman" w:cstheme="minorHAnsi"/>
          <w:iCs/>
          <w:lang w:eastAsia="en-AU"/>
        </w:rPr>
        <w:t xml:space="preserve">Papua New Guinea </w:t>
      </w:r>
      <w:r w:rsidRPr="0045067A">
        <w:rPr>
          <w:rFonts w:eastAsia="Times New Roman" w:cstheme="minorHAnsi"/>
          <w:iCs/>
          <w:lang w:val="en-GB" w:eastAsia="en-AU"/>
        </w:rPr>
        <w:t xml:space="preserve">also has provisions in relation to bankers’ books; however, the legislation does not specify any rules in relation to admissibility of hearsay evidence. </w:t>
      </w:r>
    </w:p>
    <w:p w14:paraId="6BCE0F55" w14:textId="77777777" w:rsidR="0045067A" w:rsidRPr="0045067A" w:rsidRDefault="0045067A" w:rsidP="0045067A">
      <w:pPr>
        <w:spacing w:after="0" w:line="240" w:lineRule="auto"/>
        <w:jc w:val="both"/>
        <w:rPr>
          <w:rFonts w:eastAsia="Times New Roman" w:cstheme="minorHAnsi"/>
          <w:iCs/>
          <w:lang w:val="en-GB" w:eastAsia="en-AU"/>
        </w:rPr>
      </w:pPr>
    </w:p>
    <w:p w14:paraId="5B2F1EEC" w14:textId="77777777" w:rsidR="0045067A" w:rsidRPr="0045067A" w:rsidRDefault="0045067A" w:rsidP="0045067A">
      <w:pPr>
        <w:spacing w:after="0" w:line="240" w:lineRule="auto"/>
        <w:jc w:val="both"/>
        <w:rPr>
          <w:rFonts w:eastAsia="Times New Roman" w:cstheme="minorHAnsi"/>
          <w:iCs/>
          <w:lang w:eastAsia="en-AU"/>
        </w:rPr>
      </w:pPr>
      <w:r w:rsidRPr="0045067A">
        <w:rPr>
          <w:rFonts w:eastAsia="Times New Roman" w:cstheme="minorHAnsi"/>
          <w:iCs/>
          <w:lang w:eastAsia="en-AU"/>
        </w:rPr>
        <w:t>We have been unable to identify any relevant statutory provisions in Tokelau and Vanuatu. Consequently, in these jurisdictions hearsay contained in business records is not admissible because there is no such exception at common law.</w:t>
      </w:r>
      <w:r w:rsidRPr="0045067A">
        <w:rPr>
          <w:rFonts w:eastAsia="Times New Roman" w:cstheme="minorHAnsi"/>
          <w:iCs/>
          <w:vertAlign w:val="superscript"/>
          <w:lang w:eastAsia="en-AU"/>
        </w:rPr>
        <w:footnoteReference w:id="5"/>
      </w:r>
      <w:r w:rsidRPr="0045067A">
        <w:rPr>
          <w:rFonts w:eastAsia="Times New Roman" w:cstheme="minorHAnsi"/>
          <w:iCs/>
          <w:lang w:eastAsia="en-AU"/>
        </w:rPr>
        <w:t xml:space="preserve"> </w:t>
      </w:r>
    </w:p>
    <w:p w14:paraId="39C22511" w14:textId="77777777" w:rsidR="0045067A" w:rsidRPr="0045067A" w:rsidRDefault="0045067A" w:rsidP="0045067A">
      <w:pPr>
        <w:spacing w:after="0" w:line="240" w:lineRule="auto"/>
        <w:jc w:val="both"/>
        <w:rPr>
          <w:rFonts w:eastAsia="Times New Roman" w:cstheme="minorHAnsi"/>
          <w:lang w:eastAsia="en-AU"/>
        </w:rPr>
      </w:pPr>
    </w:p>
    <w:p w14:paraId="6814D524" w14:textId="77777777" w:rsidR="0045067A" w:rsidRPr="008344EB" w:rsidRDefault="0045067A" w:rsidP="0045067A">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8344EB">
        <w:rPr>
          <w:rFonts w:eastAsiaTheme="minorEastAsia" w:cs="Times New Roman"/>
          <w:b/>
          <w:color w:val="002060"/>
          <w:kern w:val="32"/>
          <w:sz w:val="28"/>
          <w:szCs w:val="28"/>
          <w:lang w:val="en-US"/>
        </w:rPr>
        <w:lastRenderedPageBreak/>
        <w:t>Expert Evidence</w:t>
      </w:r>
    </w:p>
    <w:p w14:paraId="0241A95D" w14:textId="77777777" w:rsidR="0045067A" w:rsidRPr="0045067A" w:rsidRDefault="0045067A" w:rsidP="0045067A">
      <w:pPr>
        <w:spacing w:after="0" w:line="240" w:lineRule="auto"/>
        <w:jc w:val="both"/>
        <w:rPr>
          <w:rFonts w:eastAsia="Times New Roman" w:cstheme="minorHAnsi"/>
          <w:color w:val="000000" w:themeColor="text1"/>
          <w:lang w:eastAsia="en-AU"/>
        </w:rPr>
      </w:pPr>
      <w:r w:rsidRPr="0045067A">
        <w:rPr>
          <w:rFonts w:eastAsia="Times New Roman" w:cstheme="minorHAnsi"/>
          <w:lang w:eastAsia="en-AU"/>
        </w:rPr>
        <w:t>In all jurisdictions, expert opinion evidence is admissible as an exception to the rule against the admissibility of opinion evidence. Generally, expert opinion testimony is admissible at common law if the witness is qualified as an expert by knowledge, skill, experience, training or education and the expert’s opinion will assist the court to understand a fact or issue relevant to the matter. Some jurisdictions (</w:t>
      </w:r>
      <w:r w:rsidRPr="0045067A">
        <w:rPr>
          <w:rFonts w:eastAsia="Times New Roman" w:cstheme="minorHAnsi"/>
          <w:color w:val="000000" w:themeColor="text1"/>
          <w:lang w:eastAsia="en-AU"/>
        </w:rPr>
        <w:t>Federated States of Micronesia, Palau, Republic of Marshall Islands, Samoa, Solomon Islands, Tokelau and Tonga</w:t>
      </w:r>
      <w:r w:rsidRPr="0045067A">
        <w:rPr>
          <w:rFonts w:eastAsia="Times New Roman" w:cstheme="minorHAnsi"/>
          <w:lang w:eastAsia="en-AU"/>
        </w:rPr>
        <w:t xml:space="preserve">) have provisions in their statutes or court rules pertaining to the qualification of experts or competency of witnesses more generally. In these jurisdictions, except </w:t>
      </w:r>
      <w:r w:rsidRPr="0045067A">
        <w:rPr>
          <w:rFonts w:eastAsia="Times New Roman" w:cstheme="minorHAnsi"/>
          <w:color w:val="000000" w:themeColor="text1"/>
          <w:lang w:eastAsia="en-AU"/>
        </w:rPr>
        <w:t>Tokelau,</w:t>
      </w:r>
      <w:r w:rsidRPr="0045067A">
        <w:rPr>
          <w:rFonts w:eastAsia="Times New Roman" w:cstheme="minorHAnsi"/>
          <w:lang w:eastAsia="en-AU"/>
        </w:rPr>
        <w:t xml:space="preserve"> the common law exception is codified in the relevant </w:t>
      </w:r>
      <w:r w:rsidRPr="0045067A">
        <w:rPr>
          <w:rFonts w:eastAsia="Times New Roman" w:cstheme="minorHAnsi"/>
          <w:color w:val="000000" w:themeColor="text1"/>
          <w:lang w:eastAsia="en-AU"/>
        </w:rPr>
        <w:t xml:space="preserve">statute (Samoa, Solomon Islands, Tonga) or court rules (Federated States of Micronesia, Palau, Republic of Marshall Islands). </w:t>
      </w:r>
    </w:p>
    <w:p w14:paraId="2C0AFBC0" w14:textId="77777777" w:rsidR="0045067A" w:rsidRPr="0045067A" w:rsidRDefault="0045067A" w:rsidP="0045067A">
      <w:pPr>
        <w:spacing w:after="0" w:line="240" w:lineRule="auto"/>
        <w:jc w:val="both"/>
        <w:rPr>
          <w:rFonts w:eastAsia="Times New Roman" w:cstheme="minorHAnsi"/>
          <w:color w:val="000000" w:themeColor="text1"/>
          <w:lang w:eastAsia="en-AU"/>
        </w:rPr>
      </w:pPr>
    </w:p>
    <w:p w14:paraId="3C68B99D" w14:textId="77777777" w:rsidR="0045067A" w:rsidRPr="0045067A" w:rsidRDefault="0045067A" w:rsidP="0045067A">
      <w:pPr>
        <w:spacing w:after="0" w:line="240" w:lineRule="auto"/>
        <w:jc w:val="both"/>
        <w:rPr>
          <w:rFonts w:eastAsia="Times New Roman" w:cstheme="minorHAnsi"/>
          <w:color w:val="000000" w:themeColor="text1"/>
          <w:lang w:eastAsia="en-AU"/>
        </w:rPr>
      </w:pPr>
      <w:r w:rsidRPr="0045067A">
        <w:rPr>
          <w:rFonts w:eastAsia="Times New Roman" w:cstheme="minorHAnsi"/>
          <w:color w:val="000000" w:themeColor="text1"/>
          <w:lang w:eastAsia="en-AU"/>
        </w:rPr>
        <w:t>In the Federated States of Micronesia, Palau and Republic of Marshall Islands the specific rules are almost identical. In those jurisdictions, a court may require an expert to disclose underlying facts or data prior to testifying or during cross-examination. Facts or data which an expert relies upon to form an opinion do not need to be admitted as evidence if that evidence is of a type reasonably relied upon by experts in the particular field in forming opinions or inferences upon the subject. Testimony which is admissible is not objectionable if it relies upon a contested fact which is to be determined by the ultimate decision maker. In the Republic of Marshall Islands and Palau, facts or data which are relied on by an expert that are inadmissible do not need to be disclosed to the jury unless the court determines that the probative value of evidence, in assisting the jury to evaluate the expert’s opinion, substantially outweighs their prejudicial effect.</w:t>
      </w:r>
    </w:p>
    <w:p w14:paraId="18A583BF" w14:textId="77777777" w:rsidR="0045067A" w:rsidRPr="0045067A" w:rsidRDefault="0045067A" w:rsidP="0045067A">
      <w:pPr>
        <w:spacing w:after="0" w:line="240" w:lineRule="auto"/>
        <w:jc w:val="both"/>
        <w:rPr>
          <w:rFonts w:eastAsia="Times New Roman" w:cstheme="minorHAnsi"/>
          <w:color w:val="000000" w:themeColor="text1"/>
          <w:lang w:eastAsia="en-AU"/>
        </w:rPr>
      </w:pPr>
    </w:p>
    <w:p w14:paraId="20BBE359" w14:textId="77777777" w:rsidR="0045067A" w:rsidRPr="0045067A" w:rsidRDefault="0045067A" w:rsidP="0045067A">
      <w:pPr>
        <w:spacing w:after="0" w:line="240" w:lineRule="auto"/>
        <w:jc w:val="both"/>
        <w:rPr>
          <w:rFonts w:eastAsia="Times New Roman" w:cstheme="minorHAnsi"/>
          <w:color w:val="000000" w:themeColor="text1"/>
          <w:lang w:eastAsia="en-AU"/>
        </w:rPr>
      </w:pPr>
      <w:r w:rsidRPr="0045067A">
        <w:rPr>
          <w:rFonts w:eastAsia="Times New Roman" w:cstheme="minorHAnsi"/>
          <w:color w:val="000000" w:themeColor="text1"/>
          <w:lang w:eastAsia="en-AU"/>
        </w:rPr>
        <w:t>We have been unable to identify any relevant statutory provisions in Fiji, Kiribati, Nauru, Papua New Guinea, Tokelau and Vanuatu.  However, it is our understanding that the common law exception exists in all of these jurisdictions.</w:t>
      </w:r>
      <w:r w:rsidRPr="0045067A">
        <w:rPr>
          <w:rFonts w:eastAsia="Times New Roman" w:cstheme="minorHAnsi"/>
          <w:color w:val="000000" w:themeColor="text1"/>
          <w:vertAlign w:val="superscript"/>
          <w:lang w:eastAsia="en-AU"/>
        </w:rPr>
        <w:footnoteReference w:id="6"/>
      </w:r>
    </w:p>
    <w:p w14:paraId="630D8035" w14:textId="77777777" w:rsidR="0045067A" w:rsidRPr="0045067A" w:rsidRDefault="0045067A" w:rsidP="0045067A">
      <w:pPr>
        <w:spacing w:after="0" w:line="240" w:lineRule="auto"/>
        <w:jc w:val="both"/>
        <w:rPr>
          <w:rFonts w:eastAsia="Times New Roman" w:cstheme="minorHAnsi"/>
          <w:color w:val="000000" w:themeColor="text1"/>
          <w:lang w:eastAsia="en-AU"/>
        </w:rPr>
      </w:pPr>
    </w:p>
    <w:p w14:paraId="17FC57E9" w14:textId="77777777" w:rsidR="0045067A" w:rsidRPr="00202C7B" w:rsidRDefault="0045067A" w:rsidP="0045067A">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202C7B">
        <w:rPr>
          <w:rFonts w:eastAsiaTheme="minorEastAsia" w:cs="Times New Roman"/>
          <w:b/>
          <w:color w:val="002060"/>
          <w:kern w:val="32"/>
          <w:sz w:val="28"/>
          <w:szCs w:val="28"/>
          <w:lang w:val="en-US"/>
        </w:rPr>
        <w:fldChar w:fldCharType="begin"/>
      </w:r>
      <w:r w:rsidRPr="00202C7B">
        <w:rPr>
          <w:rFonts w:eastAsiaTheme="minorEastAsia" w:cs="Times New Roman"/>
          <w:b/>
          <w:color w:val="002060"/>
          <w:kern w:val="32"/>
          <w:sz w:val="28"/>
          <w:szCs w:val="28"/>
          <w:lang w:val="en-US"/>
        </w:rPr>
        <w:instrText xml:space="preserve"> HYPERLINK  \l "Admissco" </w:instrText>
      </w:r>
      <w:r w:rsidRPr="00202C7B">
        <w:rPr>
          <w:rFonts w:eastAsiaTheme="minorEastAsia" w:cs="Times New Roman"/>
          <w:b/>
          <w:color w:val="002060"/>
          <w:kern w:val="32"/>
          <w:sz w:val="28"/>
          <w:szCs w:val="28"/>
          <w:lang w:val="en-US"/>
        </w:rPr>
      </w:r>
      <w:r w:rsidRPr="00202C7B">
        <w:rPr>
          <w:rFonts w:eastAsiaTheme="minorEastAsia" w:cs="Times New Roman"/>
          <w:b/>
          <w:color w:val="002060"/>
          <w:kern w:val="32"/>
          <w:sz w:val="28"/>
          <w:szCs w:val="28"/>
          <w:lang w:val="en-US"/>
        </w:rPr>
        <w:fldChar w:fldCharType="separate"/>
      </w:r>
      <w:r w:rsidRPr="00202C7B">
        <w:rPr>
          <w:rFonts w:eastAsiaTheme="minorEastAsia" w:cs="Times New Roman"/>
          <w:b/>
          <w:color w:val="002060"/>
          <w:kern w:val="32"/>
          <w:sz w:val="28"/>
          <w:szCs w:val="28"/>
          <w:lang w:val="en-US"/>
        </w:rPr>
        <w:t>Evidence Admissible Against Co-accused Defendants</w:t>
      </w:r>
    </w:p>
    <w:p w14:paraId="46C53347" w14:textId="77777777" w:rsidR="0045067A" w:rsidRPr="0045067A" w:rsidRDefault="0045067A" w:rsidP="0045067A">
      <w:pPr>
        <w:spacing w:after="0" w:line="240" w:lineRule="auto"/>
        <w:jc w:val="both"/>
        <w:rPr>
          <w:rFonts w:eastAsia="Times New Roman" w:cstheme="minorHAnsi"/>
          <w:color w:val="000000" w:themeColor="text1"/>
          <w:lang w:eastAsia="en-AU"/>
        </w:rPr>
      </w:pPr>
      <w:r w:rsidRPr="00202C7B">
        <w:rPr>
          <w:rFonts w:eastAsiaTheme="minorEastAsia" w:cs="Times New Roman"/>
          <w:b/>
          <w:color w:val="002060"/>
          <w:kern w:val="32"/>
          <w:sz w:val="28"/>
          <w:szCs w:val="28"/>
          <w:lang w:val="en-US"/>
        </w:rPr>
        <w:fldChar w:fldCharType="end"/>
      </w:r>
      <w:r w:rsidRPr="0045067A">
        <w:rPr>
          <w:rFonts w:eastAsia="Times New Roman" w:cstheme="minorHAnsi"/>
          <w:color w:val="000000" w:themeColor="text1"/>
          <w:lang w:eastAsia="en-AU"/>
        </w:rPr>
        <w:t>Two jurisdictions (Papua New Guinea and Vanuatu) contain statutory provisions regarding accessorial liability. We have been unable to identify provisions in nine jurisdictions (Fiji, Kiribati, Nauru, Palau, Republic of Marshall Islands, Samoa, Solomon Islands, Tokelau and Tonga).</w:t>
      </w:r>
      <w:r w:rsidRPr="0045067A">
        <w:rPr>
          <w:rFonts w:eastAsia="Times New Roman" w:cstheme="minorHAnsi"/>
          <w:color w:val="000000" w:themeColor="text1"/>
          <w:vertAlign w:val="superscript"/>
          <w:lang w:eastAsia="en-AU"/>
        </w:rPr>
        <w:footnoteReference w:id="7"/>
      </w:r>
      <w:r w:rsidRPr="0045067A">
        <w:rPr>
          <w:rFonts w:eastAsia="Times New Roman" w:cstheme="minorHAnsi"/>
          <w:color w:val="000000" w:themeColor="text1"/>
          <w:lang w:eastAsia="en-AU"/>
        </w:rPr>
        <w:t xml:space="preserve"> </w:t>
      </w:r>
    </w:p>
    <w:p w14:paraId="164CF606" w14:textId="77777777" w:rsidR="0045067A" w:rsidRPr="0045067A" w:rsidRDefault="0045067A" w:rsidP="0045067A">
      <w:pPr>
        <w:spacing w:after="0" w:line="240" w:lineRule="auto"/>
        <w:jc w:val="both"/>
        <w:rPr>
          <w:rFonts w:eastAsia="Times New Roman" w:cstheme="minorHAnsi"/>
          <w:color w:val="000000" w:themeColor="text1"/>
          <w:lang w:eastAsia="en-AU"/>
        </w:rPr>
      </w:pPr>
    </w:p>
    <w:p w14:paraId="218705BE" w14:textId="77777777" w:rsidR="0045067A" w:rsidRPr="0045067A" w:rsidRDefault="0045067A" w:rsidP="0045067A">
      <w:pPr>
        <w:spacing w:after="0" w:line="240" w:lineRule="auto"/>
        <w:jc w:val="both"/>
        <w:rPr>
          <w:rFonts w:eastAsia="Times New Roman" w:cstheme="minorHAnsi"/>
          <w:color w:val="000000" w:themeColor="text1"/>
          <w:lang w:eastAsia="en-AU"/>
        </w:rPr>
      </w:pPr>
      <w:r w:rsidRPr="0045067A">
        <w:rPr>
          <w:rFonts w:eastAsia="Times New Roman" w:cstheme="minorHAnsi"/>
          <w:color w:val="000000" w:themeColor="text1"/>
          <w:lang w:eastAsia="en-AU"/>
        </w:rPr>
        <w:t>Regarding the admissibility of evidence against a co-accused, the common law position applies in most jurisdictions.</w:t>
      </w:r>
      <w:r w:rsidRPr="0045067A">
        <w:rPr>
          <w:rFonts w:eastAsia="Times New Roman" w:cstheme="minorHAnsi"/>
          <w:color w:val="000000" w:themeColor="text1"/>
          <w:vertAlign w:val="superscript"/>
          <w:lang w:eastAsia="en-AU"/>
        </w:rPr>
        <w:footnoteReference w:id="8"/>
      </w:r>
      <w:r w:rsidRPr="0045067A">
        <w:rPr>
          <w:rFonts w:eastAsia="Times New Roman" w:cstheme="minorHAnsi"/>
          <w:color w:val="000000" w:themeColor="text1"/>
          <w:lang w:eastAsia="en-AU"/>
        </w:rPr>
        <w:t xml:space="preserve"> At common law, the co-conspirator’s rule permits acts or statements of a co-accused in furtherance of a conspiracy to be admissible against a co-accused.</w:t>
      </w:r>
    </w:p>
    <w:p w14:paraId="53F42164" w14:textId="77777777" w:rsidR="0045067A" w:rsidRPr="0045067A" w:rsidRDefault="0045067A" w:rsidP="0045067A">
      <w:pPr>
        <w:spacing w:after="0" w:line="240" w:lineRule="auto"/>
        <w:jc w:val="both"/>
        <w:rPr>
          <w:rFonts w:eastAsia="Times New Roman" w:cstheme="minorHAnsi"/>
          <w:color w:val="000000" w:themeColor="text1"/>
          <w:lang w:eastAsia="en-AU"/>
        </w:rPr>
      </w:pPr>
    </w:p>
    <w:p w14:paraId="57B1CB39" w14:textId="77777777" w:rsidR="0045067A" w:rsidRPr="0045067A" w:rsidRDefault="0045067A" w:rsidP="0045067A">
      <w:pPr>
        <w:spacing w:after="0" w:line="240" w:lineRule="auto"/>
        <w:jc w:val="both"/>
        <w:rPr>
          <w:rFonts w:eastAsia="Times New Roman" w:cstheme="minorHAnsi"/>
          <w:color w:val="000000" w:themeColor="text1"/>
          <w:lang w:eastAsia="en-AU"/>
        </w:rPr>
      </w:pPr>
      <w:r w:rsidRPr="0045067A">
        <w:rPr>
          <w:rFonts w:eastAsia="Times New Roman" w:cstheme="minorHAnsi"/>
          <w:color w:val="000000" w:themeColor="text1"/>
          <w:lang w:eastAsia="en-AU"/>
        </w:rPr>
        <w:t xml:space="preserve">We have been able to identify provisions in five jurisdictions (Papua New Guinea, Samoa, Solomon Islands and Tonga). </w:t>
      </w:r>
    </w:p>
    <w:p w14:paraId="5ACE3800" w14:textId="77777777" w:rsidR="0045067A" w:rsidRPr="0045067A" w:rsidRDefault="0045067A" w:rsidP="0045067A">
      <w:pPr>
        <w:spacing w:after="0" w:line="240" w:lineRule="auto"/>
        <w:jc w:val="both"/>
        <w:rPr>
          <w:rFonts w:eastAsia="Times New Roman" w:cstheme="minorHAnsi"/>
          <w:color w:val="000000" w:themeColor="text1"/>
          <w:lang w:eastAsia="en-AU"/>
        </w:rPr>
      </w:pPr>
    </w:p>
    <w:p w14:paraId="3447403A" w14:textId="77777777" w:rsidR="0045067A" w:rsidRPr="0045067A" w:rsidRDefault="0045067A" w:rsidP="0045067A">
      <w:pPr>
        <w:spacing w:after="0" w:line="240" w:lineRule="auto"/>
        <w:jc w:val="both"/>
        <w:rPr>
          <w:rFonts w:eastAsia="Times New Roman" w:cstheme="minorHAnsi"/>
          <w:color w:val="000000" w:themeColor="text1"/>
          <w:lang w:eastAsia="en-AU"/>
        </w:rPr>
      </w:pPr>
      <w:r w:rsidRPr="0045067A">
        <w:rPr>
          <w:rFonts w:eastAsia="Times New Roman" w:cstheme="minorHAnsi"/>
          <w:color w:val="000000" w:themeColor="text1"/>
          <w:lang w:eastAsia="en-AU"/>
        </w:rPr>
        <w:t xml:space="preserve">The Solomon Islands and Samoa have provisions which specify that the common law position in relation to the admissibility of statements by co-conspirators prevails. In the Solomon Islands, this is only in relation to confessions. The statute also provides that a co-accused is considered a competent and </w:t>
      </w:r>
      <w:r w:rsidRPr="0045067A">
        <w:rPr>
          <w:rFonts w:eastAsia="Times New Roman" w:cstheme="minorHAnsi"/>
          <w:color w:val="000000" w:themeColor="text1"/>
          <w:lang w:eastAsia="en-AU"/>
        </w:rPr>
        <w:lastRenderedPageBreak/>
        <w:t xml:space="preserve">compellable witness. They may also offer propensity evidence only if that evidence is relevant to the defence raised or proposed to be raised by the accused. </w:t>
      </w:r>
    </w:p>
    <w:p w14:paraId="2C77BDF3" w14:textId="77777777" w:rsidR="0045067A" w:rsidRPr="0045067A" w:rsidRDefault="0045067A" w:rsidP="0045067A">
      <w:pPr>
        <w:spacing w:after="0" w:line="240" w:lineRule="auto"/>
        <w:jc w:val="both"/>
        <w:rPr>
          <w:rFonts w:eastAsia="Times New Roman" w:cstheme="minorHAnsi"/>
          <w:lang w:eastAsia="en-AU"/>
        </w:rPr>
      </w:pPr>
    </w:p>
    <w:p w14:paraId="08BED4B2" w14:textId="77777777" w:rsidR="0045067A" w:rsidRPr="0045067A" w:rsidRDefault="0045067A" w:rsidP="0045067A">
      <w:pPr>
        <w:spacing w:after="0" w:line="240" w:lineRule="auto"/>
        <w:jc w:val="both"/>
        <w:rPr>
          <w:rFonts w:eastAsia="Times New Roman" w:cstheme="minorHAnsi"/>
          <w:lang w:eastAsia="en-AU"/>
        </w:rPr>
      </w:pPr>
      <w:r w:rsidRPr="0045067A">
        <w:rPr>
          <w:rFonts w:eastAsia="Times New Roman" w:cstheme="minorHAnsi"/>
          <w:lang w:eastAsia="en-AU"/>
        </w:rPr>
        <w:t xml:space="preserve">Comparatively, in </w:t>
      </w:r>
      <w:r w:rsidRPr="0045067A">
        <w:rPr>
          <w:rFonts w:eastAsia="Times New Roman" w:cstheme="minorHAnsi"/>
          <w:color w:val="000000" w:themeColor="text1"/>
          <w:lang w:eastAsia="en-AU"/>
        </w:rPr>
        <w:t>Papua New Guinea</w:t>
      </w:r>
      <w:r w:rsidRPr="0045067A">
        <w:rPr>
          <w:rFonts w:eastAsia="Times New Roman" w:cstheme="minorHAnsi"/>
          <w:lang w:eastAsia="en-AU"/>
        </w:rPr>
        <w:t xml:space="preserve">, a person charged with an offence shall not be called as a witness in any legal proceedings in connection with the offence. Notwithstanding this, where a person charged with an offence is a witness they may be asked any questions in cross-examination. </w:t>
      </w:r>
    </w:p>
    <w:p w14:paraId="1BF253BC" w14:textId="77777777" w:rsidR="0045067A" w:rsidRPr="00CC46E6" w:rsidRDefault="0045067A" w:rsidP="00F340E0">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CC46E6">
        <w:rPr>
          <w:rFonts w:eastAsiaTheme="minorEastAsia" w:cs="Times New Roman"/>
          <w:b/>
          <w:color w:val="002060"/>
          <w:kern w:val="32"/>
          <w:sz w:val="28"/>
          <w:szCs w:val="28"/>
          <w:lang w:val="en-US"/>
        </w:rPr>
        <w:t>Electronic Evidence</w:t>
      </w:r>
    </w:p>
    <w:p w14:paraId="3A830713" w14:textId="77777777" w:rsidR="0045067A" w:rsidRPr="0045067A" w:rsidRDefault="0045067A" w:rsidP="0045067A">
      <w:pPr>
        <w:spacing w:after="0" w:line="240" w:lineRule="auto"/>
        <w:jc w:val="both"/>
        <w:rPr>
          <w:rFonts w:eastAsia="Times New Roman" w:cstheme="minorHAnsi"/>
          <w:lang w:eastAsia="en-AU"/>
        </w:rPr>
      </w:pPr>
    </w:p>
    <w:p w14:paraId="4FB32B15" w14:textId="77777777" w:rsidR="0045067A" w:rsidRPr="0045067A" w:rsidRDefault="0045067A" w:rsidP="0045067A">
      <w:pPr>
        <w:spacing w:after="0" w:line="240" w:lineRule="auto"/>
        <w:jc w:val="both"/>
        <w:rPr>
          <w:rFonts w:eastAsia="Times New Roman" w:cstheme="minorHAnsi"/>
          <w:lang w:eastAsia="en-AU"/>
        </w:rPr>
      </w:pPr>
      <w:r w:rsidRPr="0045067A">
        <w:rPr>
          <w:rFonts w:eastAsia="Times New Roman" w:cstheme="minorHAnsi"/>
          <w:lang w:eastAsia="en-AU"/>
        </w:rPr>
        <w:t xml:space="preserve">We have been unable to identify any provisions regarding the evidentiary rules applicable to electronic evidence generally in all jurisdictions except for Papua New Guinea and Tonga. In Papua New Guinea, the </w:t>
      </w:r>
      <w:r w:rsidRPr="0045067A">
        <w:rPr>
          <w:rFonts w:eastAsia="Times New Roman" w:cstheme="minorHAnsi"/>
          <w:i/>
          <w:lang w:eastAsia="en-AU"/>
        </w:rPr>
        <w:t>Electronic Transactions Acts 2021</w:t>
      </w:r>
      <w:r w:rsidRPr="0045067A">
        <w:rPr>
          <w:rFonts w:eastAsia="Times New Roman" w:cstheme="minorHAnsi"/>
          <w:lang w:eastAsia="en-AU"/>
        </w:rPr>
        <w:t xml:space="preserve"> specifies that the evidential requirements of admissibility and weight provided by the </w:t>
      </w:r>
      <w:r w:rsidRPr="0045067A">
        <w:rPr>
          <w:rFonts w:eastAsia="Times New Roman" w:cstheme="minorHAnsi"/>
          <w:i/>
          <w:lang w:eastAsia="en-AU"/>
        </w:rPr>
        <w:t>Evidence Ac</w:t>
      </w:r>
      <w:r w:rsidRPr="0045067A">
        <w:rPr>
          <w:rFonts w:eastAsia="Times New Roman" w:cstheme="minorHAnsi"/>
          <w:lang w:eastAsia="en-AU"/>
        </w:rPr>
        <w:t xml:space="preserve">t apply to electronic records or data messages. In Tonga, the </w:t>
      </w:r>
      <w:r w:rsidRPr="0045067A">
        <w:rPr>
          <w:rFonts w:eastAsia="Times New Roman" w:cstheme="minorHAnsi"/>
          <w:i/>
          <w:lang w:eastAsia="en-AU"/>
        </w:rPr>
        <w:t>Evidence Act</w:t>
      </w:r>
      <w:r w:rsidRPr="0045067A">
        <w:rPr>
          <w:rFonts w:eastAsia="Times New Roman" w:cstheme="minorHAnsi"/>
          <w:lang w:eastAsia="en-AU"/>
        </w:rPr>
        <w:t xml:space="preserve"> contains provisions regarding the admissibility, standards and authentication of electronic evidence generally. </w:t>
      </w:r>
    </w:p>
    <w:p w14:paraId="2788B3E6" w14:textId="77777777" w:rsidR="0045067A" w:rsidRPr="0045067A" w:rsidRDefault="0045067A" w:rsidP="0045067A">
      <w:pPr>
        <w:spacing w:after="0" w:line="240" w:lineRule="auto"/>
        <w:jc w:val="both"/>
        <w:rPr>
          <w:rFonts w:eastAsia="Times New Roman" w:cstheme="minorHAnsi"/>
          <w:lang w:eastAsia="en-AU"/>
        </w:rPr>
      </w:pPr>
    </w:p>
    <w:p w14:paraId="426A4E47" w14:textId="77777777" w:rsidR="0045067A" w:rsidRPr="0045067A" w:rsidRDefault="0045067A" w:rsidP="0045067A">
      <w:pPr>
        <w:spacing w:after="0" w:line="240" w:lineRule="auto"/>
        <w:jc w:val="both"/>
        <w:rPr>
          <w:rFonts w:eastAsia="Times New Roman" w:cstheme="minorHAnsi"/>
          <w:lang w:eastAsia="en-AU"/>
        </w:rPr>
      </w:pPr>
      <w:r w:rsidRPr="0045067A">
        <w:rPr>
          <w:rFonts w:eastAsia="Times New Roman" w:cstheme="minorHAnsi"/>
          <w:lang w:eastAsia="en-AU"/>
        </w:rPr>
        <w:t xml:space="preserve">Some jurisdictions specify that forms of evidence include electronic records or documents stored electronically. The Federated States of Micronesia, Palau and Republic of Marshall Islands specify that writings and records includes electronic recordings. In Samoa, the meaning of ‘documents’ includes ‘information electronically recorded or stored, and information derived from that information’. In Kiribati, the </w:t>
      </w:r>
      <w:r w:rsidRPr="0045067A">
        <w:rPr>
          <w:rFonts w:eastAsia="Times New Roman" w:cstheme="minorHAnsi"/>
          <w:i/>
          <w:lang w:eastAsia="en-AU"/>
        </w:rPr>
        <w:t xml:space="preserve">Evidence Act 2003 </w:t>
      </w:r>
      <w:r w:rsidRPr="0045067A">
        <w:rPr>
          <w:rFonts w:eastAsia="Times New Roman" w:cstheme="minorHAnsi"/>
          <w:lang w:eastAsia="en-AU"/>
        </w:rPr>
        <w:t xml:space="preserve">contains a provision regarding the ‘[a]dmissibility of statements produced by computers’. </w:t>
      </w:r>
    </w:p>
    <w:p w14:paraId="0349DDD4" w14:textId="77777777" w:rsidR="0045067A" w:rsidRPr="0045067A" w:rsidRDefault="0045067A" w:rsidP="0045067A">
      <w:pPr>
        <w:spacing w:after="0" w:line="240" w:lineRule="auto"/>
        <w:jc w:val="both"/>
        <w:rPr>
          <w:rFonts w:eastAsia="Times New Roman" w:cstheme="minorHAnsi"/>
          <w:lang w:eastAsia="en-AU"/>
        </w:rPr>
      </w:pPr>
    </w:p>
    <w:p w14:paraId="43CFADEF" w14:textId="77777777" w:rsidR="0045067A" w:rsidRPr="0045067A" w:rsidRDefault="0045067A" w:rsidP="0045067A">
      <w:pPr>
        <w:spacing w:after="0" w:line="240" w:lineRule="auto"/>
        <w:jc w:val="both"/>
        <w:rPr>
          <w:rFonts w:eastAsia="Times New Roman" w:cstheme="minorHAnsi"/>
          <w:lang w:eastAsia="en-AU"/>
        </w:rPr>
      </w:pPr>
      <w:r w:rsidRPr="0045067A">
        <w:rPr>
          <w:rFonts w:eastAsia="Times New Roman" w:cstheme="minorHAnsi"/>
          <w:lang w:eastAsia="en-AU"/>
        </w:rPr>
        <w:t xml:space="preserve">Some jurisdictions have specific evidentiary rules or exceptions in relation to electronic evidence. For example, in the Solomon Islands section 122(1) of the </w:t>
      </w:r>
      <w:r w:rsidRPr="0045067A">
        <w:rPr>
          <w:rFonts w:eastAsia="Times New Roman" w:cstheme="minorHAnsi"/>
          <w:i/>
          <w:lang w:eastAsia="en-AU"/>
        </w:rPr>
        <w:t>Evidence Act 2009</w:t>
      </w:r>
      <w:r w:rsidRPr="0045067A">
        <w:rPr>
          <w:rFonts w:eastAsia="Times New Roman" w:cstheme="minorHAnsi"/>
          <w:lang w:eastAsia="en-AU"/>
        </w:rPr>
        <w:t xml:space="preserve"> provides that the hearsay rule does not apply to a representation contained in a document recording a message that has been transmitted by electronic mail, fax, telegram, letter gram or telex. </w:t>
      </w:r>
    </w:p>
    <w:p w14:paraId="11509234" w14:textId="77777777" w:rsidR="0045067A" w:rsidRPr="0045067A" w:rsidRDefault="0045067A" w:rsidP="0045067A">
      <w:pPr>
        <w:spacing w:after="0" w:line="240" w:lineRule="auto"/>
        <w:jc w:val="both"/>
        <w:rPr>
          <w:rFonts w:eastAsia="Times New Roman" w:cstheme="minorHAnsi"/>
          <w:b/>
          <w:bCs/>
          <w:lang w:eastAsia="en-AU"/>
        </w:rPr>
      </w:pPr>
    </w:p>
    <w:p w14:paraId="5B05A058" w14:textId="77777777" w:rsidR="0045067A" w:rsidRPr="00CC46E6" w:rsidRDefault="0045067A" w:rsidP="0045067A">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CC46E6">
        <w:rPr>
          <w:rFonts w:eastAsiaTheme="minorEastAsia" w:cs="Times New Roman"/>
          <w:b/>
          <w:color w:val="002060"/>
          <w:kern w:val="32"/>
          <w:sz w:val="28"/>
          <w:szCs w:val="28"/>
          <w:lang w:val="en-US"/>
        </w:rPr>
        <w:t>Relevance of Evidence</w:t>
      </w:r>
    </w:p>
    <w:p w14:paraId="01E52671" w14:textId="77777777" w:rsidR="0045067A" w:rsidRPr="0045067A" w:rsidRDefault="0045067A" w:rsidP="0045067A">
      <w:pPr>
        <w:spacing w:after="0" w:line="240" w:lineRule="auto"/>
        <w:jc w:val="both"/>
        <w:rPr>
          <w:rFonts w:eastAsia="Times New Roman" w:cstheme="minorHAnsi"/>
          <w:lang w:eastAsia="en-AU"/>
        </w:rPr>
      </w:pPr>
      <w:r w:rsidRPr="0045067A">
        <w:rPr>
          <w:rFonts w:eastAsia="Times New Roman" w:cstheme="minorHAnsi"/>
          <w:lang w:eastAsia="en-AU"/>
        </w:rPr>
        <w:t>Five jurisdictions (</w:t>
      </w:r>
      <w:r w:rsidRPr="0045067A">
        <w:rPr>
          <w:rFonts w:eastAsia="Times New Roman" w:cstheme="minorHAnsi"/>
          <w:color w:val="000000" w:themeColor="text1"/>
          <w:lang w:eastAsia="en-AU"/>
        </w:rPr>
        <w:t>Federated States of Micronesia, Palau, Republic of Marshall Islands, Solomon Islands, Tonga</w:t>
      </w:r>
      <w:r w:rsidRPr="0045067A">
        <w:rPr>
          <w:rFonts w:eastAsia="Times New Roman" w:cstheme="minorHAnsi"/>
          <w:lang w:eastAsia="en-AU"/>
        </w:rPr>
        <w:t xml:space="preserve">) have provisions in either their statues or court rules regarding the relevancy of evidence. In all of these jurisdictions relevant evidence is generally admissible. </w:t>
      </w:r>
    </w:p>
    <w:p w14:paraId="4F0061B1" w14:textId="77777777" w:rsidR="0045067A" w:rsidRPr="0045067A" w:rsidRDefault="0045067A" w:rsidP="0045067A">
      <w:pPr>
        <w:spacing w:after="0" w:line="240" w:lineRule="auto"/>
        <w:jc w:val="both"/>
        <w:rPr>
          <w:rFonts w:eastAsia="Times New Roman" w:cstheme="minorHAnsi"/>
          <w:lang w:eastAsia="en-AU"/>
        </w:rPr>
      </w:pPr>
    </w:p>
    <w:p w14:paraId="5CB09652" w14:textId="77777777" w:rsidR="0045067A" w:rsidRPr="0045067A" w:rsidRDefault="0045067A" w:rsidP="0045067A">
      <w:pPr>
        <w:spacing w:after="0" w:line="240" w:lineRule="auto"/>
        <w:jc w:val="both"/>
        <w:rPr>
          <w:rFonts w:eastAsia="Times New Roman" w:cstheme="minorHAnsi"/>
          <w:color w:val="000000" w:themeColor="text1"/>
          <w:lang w:eastAsia="en-AU"/>
        </w:rPr>
      </w:pPr>
      <w:r w:rsidRPr="0045067A">
        <w:rPr>
          <w:rFonts w:eastAsia="Times New Roman" w:cstheme="minorHAnsi"/>
          <w:lang w:eastAsia="en-AU"/>
        </w:rPr>
        <w:t xml:space="preserve">In the </w:t>
      </w:r>
      <w:r w:rsidRPr="0045067A">
        <w:rPr>
          <w:rFonts w:eastAsia="Times New Roman" w:cstheme="minorHAnsi"/>
          <w:color w:val="000000" w:themeColor="text1"/>
          <w:lang w:eastAsia="en-AU"/>
        </w:rPr>
        <w:t xml:space="preserve">Federated States of Micronesia, Palau and Republic of Marshall Islands, relevant evidence is defined as ‘evidence having any tendency to make the existence of any fact that is of consequence to the determination of the action more probable or less probable than it would be without the evidence’. Comparatively, in Tonga, any evidence which is admissible under the relevant provisions is deemed relevant. </w:t>
      </w:r>
    </w:p>
    <w:p w14:paraId="7D83C285" w14:textId="77777777" w:rsidR="0045067A" w:rsidRPr="0045067A" w:rsidRDefault="0045067A" w:rsidP="0045067A">
      <w:pPr>
        <w:spacing w:after="0" w:line="240" w:lineRule="auto"/>
        <w:jc w:val="both"/>
        <w:rPr>
          <w:rFonts w:eastAsia="Times New Roman" w:cstheme="minorHAnsi"/>
          <w:color w:val="000000" w:themeColor="text1"/>
          <w:lang w:eastAsia="en-AU"/>
        </w:rPr>
      </w:pPr>
    </w:p>
    <w:p w14:paraId="42CA5663" w14:textId="77777777" w:rsidR="0045067A" w:rsidRPr="0045067A" w:rsidRDefault="0045067A" w:rsidP="0045067A">
      <w:pPr>
        <w:spacing w:after="0" w:line="240" w:lineRule="auto"/>
        <w:jc w:val="both"/>
        <w:rPr>
          <w:rFonts w:eastAsia="Times New Roman" w:cstheme="minorHAnsi"/>
          <w:lang w:eastAsia="en-AU"/>
        </w:rPr>
      </w:pPr>
      <w:r w:rsidRPr="0045067A">
        <w:rPr>
          <w:rFonts w:eastAsia="Times New Roman" w:cstheme="minorHAnsi"/>
          <w:color w:val="000000" w:themeColor="text1"/>
          <w:lang w:eastAsia="en-AU"/>
        </w:rPr>
        <w:t xml:space="preserve">Some jurisdictions (Papua New Guinea and Samoa) specify in their statutes that the relevancy of evidence can be questioned during later stages of criminal </w:t>
      </w:r>
      <w:r w:rsidRPr="0045067A">
        <w:rPr>
          <w:rFonts w:eastAsia="Times New Roman" w:cstheme="minorHAnsi"/>
          <w:lang w:eastAsia="en-AU"/>
        </w:rPr>
        <w:t xml:space="preserve">proceedings, such as during cross-examination or following the end of submissions. </w:t>
      </w:r>
    </w:p>
    <w:p w14:paraId="6760E75C" w14:textId="77777777" w:rsidR="0045067A" w:rsidRPr="0045067A" w:rsidRDefault="0045067A" w:rsidP="0045067A">
      <w:pPr>
        <w:spacing w:after="0" w:line="240" w:lineRule="auto"/>
        <w:jc w:val="both"/>
        <w:rPr>
          <w:rFonts w:eastAsia="Times New Roman" w:cstheme="minorHAnsi"/>
          <w:lang w:eastAsia="en-AU"/>
        </w:rPr>
      </w:pPr>
    </w:p>
    <w:p w14:paraId="0B9894A2" w14:textId="77777777" w:rsidR="0045067A" w:rsidRPr="0045067A" w:rsidRDefault="0045067A" w:rsidP="0045067A">
      <w:pPr>
        <w:spacing w:after="0" w:line="240" w:lineRule="auto"/>
        <w:rPr>
          <w:rFonts w:eastAsia="Times New Roman" w:cstheme="minorHAnsi"/>
          <w:lang w:eastAsia="en-AU"/>
        </w:rPr>
      </w:pPr>
      <w:bookmarkStart w:id="9" w:name="_Annex_A:_Offence"/>
      <w:bookmarkEnd w:id="9"/>
      <w:r w:rsidRPr="0045067A">
        <w:rPr>
          <w:rFonts w:eastAsia="Times New Roman" w:cstheme="minorHAnsi"/>
          <w:lang w:eastAsia="en-AU"/>
        </w:rPr>
        <w:br w:type="page"/>
      </w:r>
    </w:p>
    <w:p w14:paraId="778AC704" w14:textId="77777777" w:rsidR="0045067A" w:rsidRPr="0045067A" w:rsidRDefault="0045067A" w:rsidP="0045067A">
      <w:pPr>
        <w:spacing w:after="0" w:line="240" w:lineRule="auto"/>
        <w:rPr>
          <w:rFonts w:eastAsia="Times New Roman" w:cs="Times New Roman"/>
          <w:lang w:eastAsia="en-AU"/>
        </w:rPr>
      </w:pPr>
      <w:bookmarkStart w:id="10" w:name="_Annex_B:_Evidence"/>
      <w:bookmarkEnd w:id="10"/>
      <w:r w:rsidRPr="0045067A">
        <w:rPr>
          <w:rFonts w:eastAsia="Times New Roman" w:cs="Times New Roman"/>
          <w:lang w:eastAsia="en-AU"/>
        </w:rPr>
        <w:lastRenderedPageBreak/>
        <w:t>Unless otherwise specified, all references to statutory provisions and rules are to the following:</w:t>
      </w:r>
    </w:p>
    <w:p w14:paraId="2201DF30" w14:textId="77777777" w:rsidR="0045067A" w:rsidRPr="0045067A" w:rsidRDefault="0045067A" w:rsidP="0045067A">
      <w:pPr>
        <w:spacing w:after="0" w:line="240" w:lineRule="auto"/>
        <w:rPr>
          <w:rFonts w:eastAsia="Times New Roman" w:cs="Times New Roman"/>
          <w:lang w:eastAsia="en-AU"/>
        </w:rPr>
      </w:pPr>
    </w:p>
    <w:p w14:paraId="369B2612" w14:textId="77777777" w:rsidR="00D56F26" w:rsidRPr="00EF2C66" w:rsidRDefault="00D56F26" w:rsidP="00D56F26">
      <w:pPr>
        <w:numPr>
          <w:ilvl w:val="0"/>
          <w:numId w:val="1"/>
        </w:numPr>
        <w:contextualSpacing/>
        <w:jc w:val="both"/>
        <w:rPr>
          <w:rFonts w:eastAsia="Times New Roman"/>
          <w:lang w:eastAsia="en-AU"/>
        </w:rPr>
      </w:pPr>
      <w:r w:rsidRPr="00EF2C66">
        <w:rPr>
          <w:rFonts w:eastAsia="Times New Roman"/>
          <w:b/>
          <w:bCs/>
          <w:lang w:eastAsia="en-AU"/>
        </w:rPr>
        <w:t xml:space="preserve">Federated States of Micronesia: </w:t>
      </w:r>
    </w:p>
    <w:p w14:paraId="79104984" w14:textId="77777777" w:rsidR="00D56F26" w:rsidRPr="00EF2C66" w:rsidRDefault="00D56F26" w:rsidP="00D56F26">
      <w:pPr>
        <w:ind w:left="720"/>
        <w:contextualSpacing/>
        <w:jc w:val="both"/>
        <w:rPr>
          <w:rFonts w:eastAsia="Times New Roman"/>
          <w:lang w:eastAsia="en-AU"/>
        </w:rPr>
      </w:pPr>
    </w:p>
    <w:p w14:paraId="00E14A03" w14:textId="77777777" w:rsidR="00D56F26" w:rsidRPr="000F7691" w:rsidRDefault="00C5335E" w:rsidP="00D56F26">
      <w:pPr>
        <w:numPr>
          <w:ilvl w:val="1"/>
          <w:numId w:val="1"/>
        </w:numPr>
        <w:ind w:left="1434" w:hanging="357"/>
        <w:contextualSpacing/>
        <w:jc w:val="both"/>
        <w:rPr>
          <w:rStyle w:val="Hyperlink"/>
          <w:rFonts w:eastAsia="Times New Roman"/>
          <w:color w:val="0070C0"/>
          <w:lang w:eastAsia="en-AU"/>
        </w:rPr>
      </w:pPr>
      <w:hyperlink r:id="rId29" w:history="1">
        <w:r w:rsidR="00D56F26" w:rsidRPr="00AC47E8">
          <w:rPr>
            <w:rStyle w:val="Hyperlink"/>
            <w:rFonts w:eastAsia="Times New Roman" w:cstheme="minorHAnsi"/>
            <w:i/>
            <w:iCs/>
            <w:lang w:val="en-GB" w:eastAsia="en-AU"/>
          </w:rPr>
          <w:t xml:space="preserve">Code of the Federated State of Micronesia </w:t>
        </w:r>
        <w:r w:rsidR="00D56F26" w:rsidRPr="00AC47E8">
          <w:rPr>
            <w:rStyle w:val="Hyperlink"/>
            <w:rFonts w:eastAsia="Times New Roman" w:cstheme="minorHAnsi"/>
            <w:lang w:val="en-GB" w:eastAsia="en-AU"/>
          </w:rPr>
          <w:t>Title 6, Chapter 13 - Evidence</w:t>
        </w:r>
      </w:hyperlink>
    </w:p>
    <w:p w14:paraId="5DE10EB5" w14:textId="77777777" w:rsidR="00D56F26" w:rsidRPr="00EF2C66" w:rsidRDefault="00C5335E" w:rsidP="00D56F26">
      <w:pPr>
        <w:numPr>
          <w:ilvl w:val="1"/>
          <w:numId w:val="1"/>
        </w:numPr>
        <w:ind w:left="1434" w:hanging="357"/>
        <w:contextualSpacing/>
        <w:jc w:val="both"/>
        <w:rPr>
          <w:rFonts w:eastAsia="Times New Roman"/>
          <w:color w:val="0070C0"/>
          <w:lang w:eastAsia="en-AU"/>
        </w:rPr>
      </w:pPr>
      <w:hyperlink r:id="rId30" w:history="1">
        <w:r w:rsidR="00D56F26" w:rsidRPr="000F7691">
          <w:rPr>
            <w:rStyle w:val="Hyperlink"/>
            <w:rFonts w:eastAsia="Times New Roman"/>
            <w:i/>
            <w:iCs/>
            <w:lang w:eastAsia="en-AU"/>
          </w:rPr>
          <w:t>Rules of Evidence for the Trial Division of the Supreme Court of the Federated States of Micronesia</w:t>
        </w:r>
      </w:hyperlink>
      <w:r w:rsidR="00D56F26" w:rsidRPr="00EF2C66">
        <w:rPr>
          <w:rFonts w:eastAsia="Times New Roman"/>
          <w:i/>
          <w:iCs/>
          <w:color w:val="0070C0"/>
          <w:lang w:eastAsia="en-AU"/>
        </w:rPr>
        <w:t xml:space="preserve"> </w:t>
      </w:r>
    </w:p>
    <w:p w14:paraId="1DFE29BF" w14:textId="77777777" w:rsidR="00D56F26" w:rsidRPr="00EF2C66" w:rsidRDefault="00D56F26" w:rsidP="00D56F26">
      <w:pPr>
        <w:numPr>
          <w:ilvl w:val="0"/>
          <w:numId w:val="1"/>
        </w:numPr>
        <w:contextualSpacing/>
        <w:jc w:val="both"/>
        <w:rPr>
          <w:rFonts w:eastAsia="Times New Roman"/>
          <w:lang w:eastAsia="en-AU"/>
        </w:rPr>
      </w:pPr>
      <w:r w:rsidRPr="00EF2C66">
        <w:rPr>
          <w:rFonts w:eastAsia="Times New Roman"/>
          <w:b/>
          <w:bCs/>
          <w:lang w:eastAsia="en-AU"/>
        </w:rPr>
        <w:t xml:space="preserve">Fiji: </w:t>
      </w:r>
    </w:p>
    <w:p w14:paraId="3A944A38" w14:textId="77777777" w:rsidR="00D56F26" w:rsidRPr="00EF2C66" w:rsidRDefault="00C5335E" w:rsidP="00D56F26">
      <w:pPr>
        <w:numPr>
          <w:ilvl w:val="1"/>
          <w:numId w:val="1"/>
        </w:numPr>
        <w:contextualSpacing/>
        <w:jc w:val="both"/>
        <w:rPr>
          <w:rFonts w:eastAsia="Times New Roman"/>
          <w:color w:val="0070C0"/>
          <w:lang w:eastAsia="en-AU"/>
        </w:rPr>
      </w:pPr>
      <w:hyperlink r:id="rId31" w:history="1">
        <w:r w:rsidR="00D56F26" w:rsidRPr="00D671C4">
          <w:rPr>
            <w:rStyle w:val="Hyperlink"/>
            <w:rFonts w:eastAsia="Times New Roman"/>
            <w:i/>
            <w:lang w:eastAsia="en-AU"/>
          </w:rPr>
          <w:t>Evidence Act 1944</w:t>
        </w:r>
      </w:hyperlink>
      <w:r w:rsidR="00D56F26" w:rsidRPr="00EF2C66">
        <w:rPr>
          <w:rFonts w:eastAsia="Times New Roman"/>
          <w:color w:val="0070C0"/>
          <w:lang w:eastAsia="en-AU"/>
        </w:rPr>
        <w:t xml:space="preserve"> </w:t>
      </w:r>
    </w:p>
    <w:p w14:paraId="65F02B45" w14:textId="77777777" w:rsidR="00D56F26" w:rsidRPr="00EF2C66" w:rsidRDefault="00D56F26" w:rsidP="00D56F26">
      <w:pPr>
        <w:numPr>
          <w:ilvl w:val="0"/>
          <w:numId w:val="1"/>
        </w:numPr>
        <w:contextualSpacing/>
        <w:jc w:val="both"/>
        <w:rPr>
          <w:rFonts w:eastAsia="Times New Roman"/>
          <w:lang w:eastAsia="en-AU"/>
        </w:rPr>
      </w:pPr>
      <w:r w:rsidRPr="00EF2C66">
        <w:rPr>
          <w:rFonts w:eastAsia="Times New Roman"/>
          <w:b/>
          <w:bCs/>
          <w:lang w:eastAsia="en-AU"/>
        </w:rPr>
        <w:t xml:space="preserve">Kiribati: </w:t>
      </w:r>
    </w:p>
    <w:p w14:paraId="49B8E99B" w14:textId="77777777" w:rsidR="00D56F26" w:rsidRPr="00EF2C66" w:rsidRDefault="00C5335E" w:rsidP="00D56F26">
      <w:pPr>
        <w:numPr>
          <w:ilvl w:val="1"/>
          <w:numId w:val="1"/>
        </w:numPr>
        <w:contextualSpacing/>
        <w:jc w:val="both"/>
        <w:rPr>
          <w:rFonts w:eastAsia="Times New Roman"/>
          <w:color w:val="0070C0"/>
          <w:lang w:eastAsia="en-AU"/>
        </w:rPr>
      </w:pPr>
      <w:hyperlink r:id="rId32" w:history="1">
        <w:r w:rsidR="00D56F26" w:rsidRPr="000F7691">
          <w:rPr>
            <w:rStyle w:val="Hyperlink"/>
            <w:rFonts w:eastAsia="Times New Roman"/>
            <w:i/>
            <w:lang w:eastAsia="en-AU"/>
          </w:rPr>
          <w:t>Evidence Act 2003</w:t>
        </w:r>
      </w:hyperlink>
      <w:r w:rsidR="00D56F26" w:rsidRPr="00EF2C66">
        <w:rPr>
          <w:rFonts w:eastAsia="Times New Roman"/>
          <w:i/>
          <w:color w:val="0070C0"/>
          <w:lang w:eastAsia="en-AU"/>
        </w:rPr>
        <w:t xml:space="preserve"> </w:t>
      </w:r>
    </w:p>
    <w:p w14:paraId="55E6BC98" w14:textId="77777777" w:rsidR="00D56F26" w:rsidRPr="005E45F8" w:rsidRDefault="00D56F26" w:rsidP="00D56F26">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Nauru: </w:t>
      </w:r>
    </w:p>
    <w:p w14:paraId="0FDDF288" w14:textId="77777777" w:rsidR="00D56F26" w:rsidRPr="0034629D" w:rsidRDefault="00C5335E" w:rsidP="00D56F26">
      <w:pPr>
        <w:pStyle w:val="ListParagraph"/>
        <w:numPr>
          <w:ilvl w:val="1"/>
          <w:numId w:val="1"/>
        </w:numPr>
        <w:jc w:val="both"/>
        <w:rPr>
          <w:rFonts w:asciiTheme="minorHAnsi" w:hAnsiTheme="minorHAnsi"/>
          <w:i/>
          <w:color w:val="0070C0"/>
          <w:sz w:val="22"/>
          <w:szCs w:val="22"/>
        </w:rPr>
      </w:pPr>
      <w:hyperlink r:id="rId33" w:history="1">
        <w:r w:rsidR="00D56F26" w:rsidRPr="00A11126">
          <w:rPr>
            <w:rStyle w:val="Hyperlink"/>
            <w:rFonts w:asciiTheme="minorHAnsi" w:hAnsiTheme="minorHAnsi"/>
            <w:i/>
            <w:sz w:val="22"/>
            <w:szCs w:val="22"/>
          </w:rPr>
          <w:t>Criminal Procedure (Amendment) Act 2020</w:t>
        </w:r>
      </w:hyperlink>
    </w:p>
    <w:p w14:paraId="50AE00AE" w14:textId="77777777" w:rsidR="00D56F26" w:rsidRPr="00EF2C66" w:rsidRDefault="00D56F26" w:rsidP="00D56F26">
      <w:pPr>
        <w:numPr>
          <w:ilvl w:val="0"/>
          <w:numId w:val="1"/>
        </w:numPr>
        <w:contextualSpacing/>
        <w:jc w:val="both"/>
        <w:rPr>
          <w:rFonts w:eastAsia="Times New Roman"/>
          <w:lang w:eastAsia="en-AU"/>
        </w:rPr>
      </w:pPr>
      <w:r w:rsidRPr="00EF2C66">
        <w:rPr>
          <w:rFonts w:eastAsia="Times New Roman"/>
          <w:b/>
          <w:bCs/>
          <w:lang w:eastAsia="en-AU"/>
        </w:rPr>
        <w:t xml:space="preserve">Palau: </w:t>
      </w:r>
    </w:p>
    <w:p w14:paraId="3E5CF2AC" w14:textId="77777777" w:rsidR="00D56F26" w:rsidRPr="00EF2C66" w:rsidRDefault="00C5335E" w:rsidP="00D56F26">
      <w:pPr>
        <w:numPr>
          <w:ilvl w:val="1"/>
          <w:numId w:val="1"/>
        </w:numPr>
        <w:contextualSpacing/>
        <w:jc w:val="both"/>
        <w:rPr>
          <w:rFonts w:eastAsia="Times New Roman"/>
          <w:i/>
          <w:color w:val="0070C0"/>
          <w:lang w:eastAsia="en-AU"/>
        </w:rPr>
      </w:pPr>
      <w:hyperlink r:id="rId34" w:history="1">
        <w:r w:rsidR="00D56F26" w:rsidRPr="000F7691">
          <w:rPr>
            <w:rStyle w:val="Hyperlink"/>
            <w:rFonts w:eastAsia="Times New Roman"/>
            <w:i/>
            <w:lang w:eastAsia="en-AU"/>
          </w:rPr>
          <w:t>Rules of Evidence for the Courts of the Republic of Palau</w:t>
        </w:r>
      </w:hyperlink>
    </w:p>
    <w:p w14:paraId="0ED673B3" w14:textId="77777777" w:rsidR="00D56F26" w:rsidRPr="00EF2C66" w:rsidRDefault="00D56F26" w:rsidP="00D56F26">
      <w:pPr>
        <w:numPr>
          <w:ilvl w:val="0"/>
          <w:numId w:val="1"/>
        </w:numPr>
        <w:contextualSpacing/>
        <w:jc w:val="both"/>
        <w:rPr>
          <w:rFonts w:eastAsia="Times New Roman"/>
          <w:lang w:eastAsia="en-AU"/>
        </w:rPr>
      </w:pPr>
      <w:r w:rsidRPr="00EF2C66">
        <w:rPr>
          <w:rFonts w:eastAsia="Times New Roman"/>
          <w:b/>
          <w:bCs/>
          <w:lang w:eastAsia="en-AU"/>
        </w:rPr>
        <w:t xml:space="preserve">Papua New Guinea: </w:t>
      </w:r>
    </w:p>
    <w:p w14:paraId="54214AE1" w14:textId="77777777" w:rsidR="00D56F26" w:rsidRPr="00267A46" w:rsidRDefault="00C5335E" w:rsidP="00D56F26">
      <w:pPr>
        <w:numPr>
          <w:ilvl w:val="1"/>
          <w:numId w:val="1"/>
        </w:numPr>
        <w:spacing w:after="0" w:line="240" w:lineRule="auto"/>
        <w:contextualSpacing/>
        <w:jc w:val="both"/>
        <w:rPr>
          <w:rFonts w:eastAsia="Times New Roman"/>
          <w:i/>
          <w:color w:val="0070C0"/>
          <w:u w:val="single"/>
          <w:lang w:eastAsia="en-AU"/>
        </w:rPr>
      </w:pPr>
      <w:hyperlink r:id="rId35" w:history="1">
        <w:r w:rsidR="00D56F26" w:rsidRPr="00FB46B5">
          <w:rPr>
            <w:rStyle w:val="Hyperlink"/>
            <w:rFonts w:eastAsia="Times New Roman"/>
            <w:i/>
            <w:lang w:eastAsia="en-AU"/>
          </w:rPr>
          <w:t>Evidence Act 1975</w:t>
        </w:r>
      </w:hyperlink>
    </w:p>
    <w:p w14:paraId="1C428410" w14:textId="77777777" w:rsidR="00D56F26" w:rsidRPr="00267A46" w:rsidRDefault="00C5335E" w:rsidP="00D56F26">
      <w:pPr>
        <w:numPr>
          <w:ilvl w:val="1"/>
          <w:numId w:val="1"/>
        </w:numPr>
        <w:spacing w:after="0" w:line="240" w:lineRule="auto"/>
        <w:contextualSpacing/>
        <w:jc w:val="both"/>
        <w:rPr>
          <w:rFonts w:eastAsia="Times New Roman"/>
          <w:color w:val="0070C0"/>
          <w:lang w:eastAsia="en-AU"/>
        </w:rPr>
      </w:pPr>
      <w:hyperlink r:id="rId36" w:history="1">
        <w:r w:rsidR="00D56F26" w:rsidRPr="00FB46B5">
          <w:rPr>
            <w:rStyle w:val="Hyperlink"/>
            <w:rFonts w:eastAsia="Times New Roman"/>
            <w:i/>
            <w:lang w:eastAsia="en-AU"/>
          </w:rPr>
          <w:t>Electronic Transactions Act 2021</w:t>
        </w:r>
      </w:hyperlink>
      <w:r w:rsidR="00D56F26" w:rsidRPr="00267A46">
        <w:rPr>
          <w:rFonts w:eastAsia="Times New Roman"/>
          <w:color w:val="0070C0"/>
          <w:lang w:eastAsia="en-AU"/>
        </w:rPr>
        <w:t xml:space="preserve"> </w:t>
      </w:r>
    </w:p>
    <w:p w14:paraId="3ED129FC" w14:textId="77777777" w:rsidR="00D56F26" w:rsidRPr="00267A46" w:rsidRDefault="00C5335E" w:rsidP="00D56F26">
      <w:pPr>
        <w:numPr>
          <w:ilvl w:val="1"/>
          <w:numId w:val="1"/>
        </w:numPr>
        <w:spacing w:after="0" w:line="240" w:lineRule="auto"/>
        <w:contextualSpacing/>
        <w:jc w:val="both"/>
        <w:rPr>
          <w:rFonts w:eastAsia="Times New Roman"/>
          <w:i/>
          <w:color w:val="0070C0"/>
          <w:lang w:eastAsia="en-AU"/>
        </w:rPr>
      </w:pPr>
      <w:hyperlink r:id="rId37" w:history="1">
        <w:r w:rsidR="00D56F26" w:rsidRPr="00FB46B5">
          <w:rPr>
            <w:rStyle w:val="Hyperlink"/>
            <w:rFonts w:eastAsia="Times New Roman"/>
            <w:i/>
            <w:lang w:eastAsia="en-AU"/>
          </w:rPr>
          <w:t>Criminal Practice Rules – Fraud &amp; Corruption Related Offences 2013</w:t>
        </w:r>
      </w:hyperlink>
    </w:p>
    <w:p w14:paraId="79449005" w14:textId="77777777" w:rsidR="00D56F26" w:rsidRPr="00EF2C66" w:rsidRDefault="00D56F26" w:rsidP="00D56F26">
      <w:pPr>
        <w:numPr>
          <w:ilvl w:val="0"/>
          <w:numId w:val="1"/>
        </w:numPr>
        <w:contextualSpacing/>
        <w:jc w:val="both"/>
        <w:rPr>
          <w:rFonts w:eastAsia="Times New Roman"/>
          <w:lang w:eastAsia="en-AU"/>
        </w:rPr>
      </w:pPr>
      <w:r w:rsidRPr="00EF2C66">
        <w:rPr>
          <w:rFonts w:eastAsia="Times New Roman"/>
          <w:b/>
          <w:bCs/>
          <w:lang w:eastAsia="en-AU"/>
        </w:rPr>
        <w:t>Republic of Marshall Islands</w:t>
      </w:r>
      <w:r w:rsidRPr="00EF2C66">
        <w:rPr>
          <w:rFonts w:eastAsia="Times New Roman"/>
          <w:lang w:eastAsia="en-AU"/>
        </w:rPr>
        <w:t xml:space="preserve">: </w:t>
      </w:r>
    </w:p>
    <w:p w14:paraId="56560A19" w14:textId="77777777" w:rsidR="00D56F26" w:rsidRPr="00EF2C66" w:rsidRDefault="00C5335E" w:rsidP="00D56F26">
      <w:pPr>
        <w:numPr>
          <w:ilvl w:val="1"/>
          <w:numId w:val="1"/>
        </w:numPr>
        <w:contextualSpacing/>
        <w:jc w:val="both"/>
        <w:rPr>
          <w:rFonts w:eastAsia="Times New Roman"/>
          <w:i/>
          <w:color w:val="0070C0"/>
          <w:lang w:eastAsia="en-AU"/>
        </w:rPr>
      </w:pPr>
      <w:hyperlink r:id="rId38" w:history="1">
        <w:r w:rsidR="00D56F26" w:rsidRPr="000F7691">
          <w:rPr>
            <w:rStyle w:val="Hyperlink"/>
            <w:rFonts w:eastAsia="Times New Roman"/>
            <w:i/>
            <w:lang w:eastAsia="en-AU"/>
          </w:rPr>
          <w:t>Title 28 – Evidence Act of 1989</w:t>
        </w:r>
      </w:hyperlink>
    </w:p>
    <w:p w14:paraId="3DCE4BB5" w14:textId="77777777" w:rsidR="00D56F26" w:rsidRPr="00EF2C66" w:rsidRDefault="00D56F26" w:rsidP="00D56F26">
      <w:pPr>
        <w:numPr>
          <w:ilvl w:val="0"/>
          <w:numId w:val="1"/>
        </w:numPr>
        <w:contextualSpacing/>
        <w:jc w:val="both"/>
        <w:rPr>
          <w:rFonts w:eastAsia="Times New Roman"/>
          <w:lang w:eastAsia="en-AU"/>
        </w:rPr>
      </w:pPr>
      <w:r w:rsidRPr="00EF2C66">
        <w:rPr>
          <w:rFonts w:eastAsia="Times New Roman"/>
          <w:b/>
          <w:bCs/>
          <w:lang w:eastAsia="en-AU"/>
        </w:rPr>
        <w:t xml:space="preserve">Samoa: </w:t>
      </w:r>
    </w:p>
    <w:p w14:paraId="2E3B2470" w14:textId="77777777" w:rsidR="00D56F26" w:rsidRPr="00267A46" w:rsidRDefault="00C5335E" w:rsidP="00D56F26">
      <w:pPr>
        <w:numPr>
          <w:ilvl w:val="1"/>
          <w:numId w:val="1"/>
        </w:numPr>
        <w:spacing w:after="0" w:line="240" w:lineRule="auto"/>
        <w:contextualSpacing/>
        <w:jc w:val="both"/>
        <w:rPr>
          <w:rFonts w:eastAsia="Times New Roman"/>
          <w:i/>
          <w:color w:val="0070C0"/>
          <w:lang w:eastAsia="en-AU"/>
        </w:rPr>
      </w:pPr>
      <w:hyperlink r:id="rId39" w:history="1">
        <w:r w:rsidR="00D56F26" w:rsidRPr="006F3EE1">
          <w:rPr>
            <w:rStyle w:val="Hyperlink"/>
            <w:rFonts w:eastAsia="Times New Roman"/>
            <w:i/>
            <w:lang w:eastAsia="en-AU"/>
          </w:rPr>
          <w:t>Evidence Act of 2015</w:t>
        </w:r>
      </w:hyperlink>
    </w:p>
    <w:p w14:paraId="2DF1B3AE" w14:textId="77777777" w:rsidR="00D56F26" w:rsidRPr="00EF2C66" w:rsidRDefault="00D56F26" w:rsidP="00D56F26">
      <w:pPr>
        <w:numPr>
          <w:ilvl w:val="0"/>
          <w:numId w:val="1"/>
        </w:numPr>
        <w:contextualSpacing/>
        <w:jc w:val="both"/>
        <w:rPr>
          <w:rFonts w:eastAsia="Times New Roman"/>
          <w:lang w:eastAsia="en-AU"/>
        </w:rPr>
      </w:pPr>
      <w:r w:rsidRPr="00EF2C66">
        <w:rPr>
          <w:rFonts w:eastAsia="Times New Roman"/>
          <w:b/>
          <w:bCs/>
          <w:lang w:eastAsia="en-AU"/>
        </w:rPr>
        <w:t xml:space="preserve">Solomon Islands: </w:t>
      </w:r>
    </w:p>
    <w:p w14:paraId="2C86EFA1" w14:textId="77777777" w:rsidR="00D56F26" w:rsidRPr="00267A46" w:rsidRDefault="00C5335E" w:rsidP="00D56F26">
      <w:pPr>
        <w:numPr>
          <w:ilvl w:val="1"/>
          <w:numId w:val="1"/>
        </w:numPr>
        <w:spacing w:after="0" w:line="240" w:lineRule="auto"/>
        <w:contextualSpacing/>
        <w:jc w:val="both"/>
        <w:rPr>
          <w:rFonts w:eastAsia="Times New Roman"/>
          <w:i/>
          <w:color w:val="0070C0"/>
          <w:lang w:eastAsia="en-AU"/>
        </w:rPr>
      </w:pPr>
      <w:hyperlink r:id="rId40" w:history="1">
        <w:r w:rsidR="00D56F26" w:rsidRPr="006F3EE1">
          <w:rPr>
            <w:rStyle w:val="Hyperlink"/>
            <w:rFonts w:eastAsia="Times New Roman"/>
            <w:i/>
            <w:lang w:eastAsia="en-AU"/>
          </w:rPr>
          <w:t>Evidence Act 2009</w:t>
        </w:r>
      </w:hyperlink>
    </w:p>
    <w:p w14:paraId="4FA3D006" w14:textId="77777777" w:rsidR="00D56F26" w:rsidRPr="00EF2C66" w:rsidRDefault="00D56F26" w:rsidP="00D56F26">
      <w:pPr>
        <w:numPr>
          <w:ilvl w:val="0"/>
          <w:numId w:val="1"/>
        </w:numPr>
        <w:contextualSpacing/>
        <w:jc w:val="both"/>
        <w:rPr>
          <w:rFonts w:eastAsia="Times New Roman"/>
          <w:lang w:eastAsia="en-AU"/>
        </w:rPr>
      </w:pPr>
      <w:r w:rsidRPr="00EF2C66">
        <w:rPr>
          <w:rFonts w:eastAsia="Times New Roman"/>
          <w:b/>
          <w:bCs/>
          <w:lang w:eastAsia="en-AU"/>
        </w:rPr>
        <w:t xml:space="preserve">Tokelau: </w:t>
      </w:r>
    </w:p>
    <w:p w14:paraId="5A705C88" w14:textId="77777777" w:rsidR="00D56F26" w:rsidRPr="00267A46" w:rsidRDefault="00C5335E" w:rsidP="00D56F26">
      <w:pPr>
        <w:numPr>
          <w:ilvl w:val="1"/>
          <w:numId w:val="1"/>
        </w:numPr>
        <w:spacing w:after="0" w:line="240" w:lineRule="auto"/>
        <w:contextualSpacing/>
        <w:jc w:val="both"/>
        <w:rPr>
          <w:rFonts w:eastAsia="Times New Roman"/>
          <w:color w:val="0070C0"/>
          <w:lang w:eastAsia="en-AU"/>
        </w:rPr>
      </w:pPr>
      <w:hyperlink r:id="rId41" w:history="1">
        <w:r w:rsidR="00D56F26" w:rsidRPr="00BF5FA3">
          <w:rPr>
            <w:rStyle w:val="Hyperlink"/>
            <w:rFonts w:eastAsia="Times New Roman"/>
            <w:i/>
            <w:iCs/>
            <w:lang w:eastAsia="en-AU"/>
          </w:rPr>
          <w:t>Crimes, Procedure and Evidence Rules 2003</w:t>
        </w:r>
      </w:hyperlink>
    </w:p>
    <w:p w14:paraId="239AABE5" w14:textId="77777777" w:rsidR="00D56F26" w:rsidRPr="00EF2C66" w:rsidRDefault="00D56F26" w:rsidP="00D56F26">
      <w:pPr>
        <w:numPr>
          <w:ilvl w:val="0"/>
          <w:numId w:val="1"/>
        </w:numPr>
        <w:contextualSpacing/>
        <w:jc w:val="both"/>
        <w:rPr>
          <w:rFonts w:eastAsia="Times New Roman"/>
          <w:lang w:eastAsia="en-AU"/>
        </w:rPr>
      </w:pPr>
      <w:r w:rsidRPr="00EF2C66">
        <w:rPr>
          <w:rFonts w:eastAsia="Times New Roman"/>
          <w:b/>
          <w:bCs/>
          <w:lang w:eastAsia="en-AU"/>
        </w:rPr>
        <w:t xml:space="preserve">Tonga: </w:t>
      </w:r>
    </w:p>
    <w:p w14:paraId="7FC12589" w14:textId="77777777" w:rsidR="00D56F26" w:rsidRPr="00267A46" w:rsidRDefault="00C5335E" w:rsidP="00D56F26">
      <w:pPr>
        <w:numPr>
          <w:ilvl w:val="1"/>
          <w:numId w:val="1"/>
        </w:numPr>
        <w:spacing w:after="0" w:line="240" w:lineRule="auto"/>
        <w:contextualSpacing/>
        <w:jc w:val="both"/>
        <w:rPr>
          <w:rFonts w:eastAsia="Times New Roman"/>
          <w:i/>
          <w:color w:val="0070C0"/>
          <w:lang w:eastAsia="en-AU"/>
        </w:rPr>
      </w:pPr>
      <w:hyperlink r:id="rId42" w:history="1">
        <w:r w:rsidR="00D56F26" w:rsidRPr="00792F0C">
          <w:rPr>
            <w:rStyle w:val="Hyperlink"/>
            <w:rFonts w:eastAsia="Times New Roman"/>
            <w:i/>
            <w:lang w:eastAsia="en-AU"/>
          </w:rPr>
          <w:t>Evidence Act 2020</w:t>
        </w:r>
      </w:hyperlink>
    </w:p>
    <w:p w14:paraId="2FCA0590" w14:textId="77777777" w:rsidR="00D56F26" w:rsidRPr="005E45F8" w:rsidRDefault="00D56F26" w:rsidP="00D56F26">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Vanuatu: </w:t>
      </w:r>
    </w:p>
    <w:p w14:paraId="74442479" w14:textId="77777777" w:rsidR="00D56F26" w:rsidRPr="0034629D" w:rsidRDefault="00C5335E" w:rsidP="00D56F26">
      <w:pPr>
        <w:pStyle w:val="ListParagraph"/>
        <w:numPr>
          <w:ilvl w:val="1"/>
          <w:numId w:val="1"/>
        </w:numPr>
        <w:jc w:val="both"/>
        <w:rPr>
          <w:rFonts w:asciiTheme="minorHAnsi" w:hAnsiTheme="minorHAnsi"/>
          <w:i/>
          <w:color w:val="0070C0"/>
          <w:sz w:val="22"/>
          <w:szCs w:val="22"/>
        </w:rPr>
      </w:pPr>
      <w:hyperlink r:id="rId43" w:history="1">
        <w:r w:rsidR="00D56F26" w:rsidRPr="007D774B">
          <w:rPr>
            <w:rStyle w:val="Hyperlink"/>
            <w:rFonts w:asciiTheme="minorHAnsi" w:hAnsiTheme="minorHAnsi"/>
            <w:i/>
            <w:sz w:val="22"/>
            <w:szCs w:val="22"/>
          </w:rPr>
          <w:t>Chapter 136 - Criminal Procedure Code</w:t>
        </w:r>
      </w:hyperlink>
    </w:p>
    <w:p w14:paraId="56E540C0" w14:textId="77777777" w:rsidR="0045067A" w:rsidRPr="0045067A" w:rsidRDefault="0045067A" w:rsidP="0045067A">
      <w:pPr>
        <w:spacing w:after="0" w:line="240" w:lineRule="auto"/>
        <w:jc w:val="both"/>
        <w:rPr>
          <w:rFonts w:eastAsia="Times New Roman" w:cs="Times New Roman"/>
          <w:lang w:eastAsia="en-AU"/>
        </w:rPr>
      </w:pPr>
    </w:p>
    <w:p w14:paraId="33F1F41F" w14:textId="77777777" w:rsidR="0045067A" w:rsidRPr="0045067A" w:rsidRDefault="0045067A" w:rsidP="0045067A">
      <w:pPr>
        <w:spacing w:after="0" w:line="240" w:lineRule="auto"/>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2094"/>
        <w:gridCol w:w="1431"/>
        <w:gridCol w:w="1273"/>
        <w:gridCol w:w="1377"/>
        <w:gridCol w:w="1484"/>
        <w:gridCol w:w="1459"/>
      </w:tblGrid>
      <w:tr w:rsidR="0045067A" w:rsidRPr="0045067A" w14:paraId="18A6D322" w14:textId="77777777" w:rsidTr="00DD238F">
        <w:trPr>
          <w:cantSplit/>
          <w:trHeight w:val="383"/>
          <w:jc w:val="center"/>
        </w:trPr>
        <w:tc>
          <w:tcPr>
            <w:tcW w:w="2094" w:type="dxa"/>
            <w:shd w:val="clear" w:color="auto" w:fill="BDD6EE" w:themeFill="accent1" w:themeFillTint="66"/>
          </w:tcPr>
          <w:p w14:paraId="642F1217" w14:textId="77777777" w:rsidR="0045067A" w:rsidRPr="0045067A" w:rsidRDefault="0045067A" w:rsidP="0045067A">
            <w:pPr>
              <w:jc w:val="both"/>
              <w:rPr>
                <w:rFonts w:eastAsia="Times New Roman" w:cstheme="minorHAnsi"/>
                <w:lang w:eastAsia="en-AU"/>
              </w:rPr>
            </w:pPr>
          </w:p>
        </w:tc>
        <w:tc>
          <w:tcPr>
            <w:tcW w:w="1431" w:type="dxa"/>
            <w:shd w:val="clear" w:color="auto" w:fill="BDD6EE" w:themeFill="accent1" w:themeFillTint="66"/>
          </w:tcPr>
          <w:p w14:paraId="7CD5EB79" w14:textId="77777777" w:rsidR="0045067A" w:rsidRPr="0045067A" w:rsidRDefault="0045067A" w:rsidP="0045067A">
            <w:pPr>
              <w:jc w:val="center"/>
              <w:rPr>
                <w:rFonts w:eastAsia="Times New Roman" w:cstheme="minorHAnsi"/>
                <w:b/>
                <w:lang w:eastAsia="en-AU"/>
              </w:rPr>
            </w:pPr>
            <w:r w:rsidRPr="0045067A">
              <w:rPr>
                <w:rFonts w:eastAsia="Times New Roman" w:cstheme="minorHAnsi"/>
                <w:b/>
                <w:lang w:eastAsia="en-AU"/>
              </w:rPr>
              <w:t>Exceptions to Hearsay</w:t>
            </w:r>
          </w:p>
        </w:tc>
        <w:tc>
          <w:tcPr>
            <w:tcW w:w="1273" w:type="dxa"/>
            <w:shd w:val="clear" w:color="auto" w:fill="BDD6EE" w:themeFill="accent1" w:themeFillTint="66"/>
          </w:tcPr>
          <w:p w14:paraId="35B7691C" w14:textId="77777777" w:rsidR="0045067A" w:rsidRPr="0045067A" w:rsidRDefault="0045067A" w:rsidP="0045067A">
            <w:pPr>
              <w:jc w:val="center"/>
              <w:rPr>
                <w:rFonts w:eastAsia="Times New Roman" w:cstheme="minorHAnsi"/>
                <w:b/>
                <w:lang w:eastAsia="en-AU"/>
              </w:rPr>
            </w:pPr>
            <w:r w:rsidRPr="0045067A">
              <w:rPr>
                <w:rFonts w:eastAsia="Times New Roman" w:cstheme="minorHAnsi"/>
                <w:b/>
                <w:lang w:eastAsia="en-AU"/>
              </w:rPr>
              <w:t>Expert Evidence</w:t>
            </w:r>
          </w:p>
        </w:tc>
        <w:tc>
          <w:tcPr>
            <w:tcW w:w="1377" w:type="dxa"/>
            <w:shd w:val="clear" w:color="auto" w:fill="BDD6EE" w:themeFill="accent1" w:themeFillTint="66"/>
          </w:tcPr>
          <w:p w14:paraId="58481D3B" w14:textId="77777777" w:rsidR="0045067A" w:rsidRPr="0045067A" w:rsidRDefault="0045067A" w:rsidP="0045067A">
            <w:pPr>
              <w:jc w:val="center"/>
              <w:rPr>
                <w:rFonts w:eastAsia="Times New Roman" w:cstheme="minorHAnsi"/>
                <w:b/>
                <w:lang w:eastAsia="en-AU"/>
              </w:rPr>
            </w:pPr>
            <w:r w:rsidRPr="0045067A">
              <w:rPr>
                <w:rFonts w:eastAsia="Times New Roman" w:cstheme="minorHAnsi"/>
                <w:b/>
                <w:lang w:eastAsia="en-AU"/>
              </w:rPr>
              <w:t>Evidence Against Co-accused</w:t>
            </w:r>
          </w:p>
        </w:tc>
        <w:tc>
          <w:tcPr>
            <w:tcW w:w="1484" w:type="dxa"/>
            <w:shd w:val="clear" w:color="auto" w:fill="BDD6EE" w:themeFill="accent1" w:themeFillTint="66"/>
          </w:tcPr>
          <w:p w14:paraId="619633E7" w14:textId="77777777" w:rsidR="0045067A" w:rsidRPr="0045067A" w:rsidRDefault="0045067A" w:rsidP="0045067A">
            <w:pPr>
              <w:jc w:val="center"/>
              <w:rPr>
                <w:rFonts w:eastAsia="Times New Roman" w:cstheme="minorHAnsi"/>
                <w:b/>
                <w:lang w:eastAsia="en-AU"/>
              </w:rPr>
            </w:pPr>
            <w:r w:rsidRPr="0045067A">
              <w:rPr>
                <w:rFonts w:eastAsia="Times New Roman" w:cstheme="minorHAnsi"/>
                <w:b/>
                <w:lang w:eastAsia="en-AU"/>
              </w:rPr>
              <w:t>Electronic Evidence</w:t>
            </w:r>
          </w:p>
        </w:tc>
        <w:tc>
          <w:tcPr>
            <w:tcW w:w="1459" w:type="dxa"/>
            <w:shd w:val="clear" w:color="auto" w:fill="BDD6EE" w:themeFill="accent1" w:themeFillTint="66"/>
          </w:tcPr>
          <w:p w14:paraId="5A520C18" w14:textId="77777777" w:rsidR="0045067A" w:rsidRPr="0045067A" w:rsidRDefault="0045067A" w:rsidP="0045067A">
            <w:pPr>
              <w:jc w:val="center"/>
              <w:rPr>
                <w:rFonts w:eastAsia="Times New Roman" w:cstheme="minorHAnsi"/>
                <w:b/>
                <w:lang w:eastAsia="en-AU"/>
              </w:rPr>
            </w:pPr>
            <w:r w:rsidRPr="0045067A">
              <w:rPr>
                <w:rFonts w:eastAsia="Times New Roman" w:cstheme="minorHAnsi"/>
                <w:b/>
                <w:lang w:eastAsia="en-AU"/>
              </w:rPr>
              <w:t>Relevance of Evidence</w:t>
            </w:r>
          </w:p>
        </w:tc>
      </w:tr>
      <w:tr w:rsidR="0045067A" w:rsidRPr="0045067A" w14:paraId="6A9C5450" w14:textId="77777777" w:rsidTr="00DD238F">
        <w:trPr>
          <w:cantSplit/>
          <w:trHeight w:val="706"/>
          <w:jc w:val="center"/>
        </w:trPr>
        <w:tc>
          <w:tcPr>
            <w:tcW w:w="2094" w:type="dxa"/>
          </w:tcPr>
          <w:p w14:paraId="52FE6DBB"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Federated States of Micronesia</w:t>
            </w:r>
          </w:p>
        </w:tc>
        <w:tc>
          <w:tcPr>
            <w:tcW w:w="1431" w:type="dxa"/>
            <w:shd w:val="clear" w:color="auto" w:fill="auto"/>
          </w:tcPr>
          <w:p w14:paraId="05C4897C"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Rules 801, 802, 803</w:t>
            </w:r>
          </w:p>
        </w:tc>
        <w:tc>
          <w:tcPr>
            <w:tcW w:w="1273" w:type="dxa"/>
          </w:tcPr>
          <w:p w14:paraId="5FDB18C3"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Rules 601, 602, 702, 703, 704, 705, 706</w:t>
            </w:r>
          </w:p>
        </w:tc>
        <w:tc>
          <w:tcPr>
            <w:tcW w:w="1377" w:type="dxa"/>
            <w:shd w:val="clear" w:color="auto" w:fill="D9D9D9" w:themeFill="background1" w:themeFillShade="D9"/>
          </w:tcPr>
          <w:p w14:paraId="7351CBF3"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N/A</w:t>
            </w:r>
          </w:p>
        </w:tc>
        <w:tc>
          <w:tcPr>
            <w:tcW w:w="1484" w:type="dxa"/>
          </w:tcPr>
          <w:p w14:paraId="240A24B0"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Rule 1001</w:t>
            </w:r>
          </w:p>
        </w:tc>
        <w:tc>
          <w:tcPr>
            <w:tcW w:w="1459" w:type="dxa"/>
          </w:tcPr>
          <w:p w14:paraId="342E2DB5"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Rules 401, 402, 403</w:t>
            </w:r>
          </w:p>
        </w:tc>
      </w:tr>
      <w:tr w:rsidR="0045067A" w:rsidRPr="0045067A" w14:paraId="3BF4B54F" w14:textId="77777777" w:rsidTr="00DD238F">
        <w:trPr>
          <w:cantSplit/>
          <w:jc w:val="center"/>
        </w:trPr>
        <w:tc>
          <w:tcPr>
            <w:tcW w:w="2094" w:type="dxa"/>
          </w:tcPr>
          <w:p w14:paraId="0A5B7FEB"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Fiji</w:t>
            </w:r>
          </w:p>
        </w:tc>
        <w:tc>
          <w:tcPr>
            <w:tcW w:w="1431" w:type="dxa"/>
            <w:shd w:val="clear" w:color="auto" w:fill="auto"/>
          </w:tcPr>
          <w:p w14:paraId="734721B3"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 4</w:t>
            </w:r>
          </w:p>
        </w:tc>
        <w:tc>
          <w:tcPr>
            <w:tcW w:w="1273" w:type="dxa"/>
            <w:shd w:val="clear" w:color="auto" w:fill="D9D9D9" w:themeFill="background1" w:themeFillShade="D9"/>
          </w:tcPr>
          <w:p w14:paraId="0AE4CD3C"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N/A</w:t>
            </w:r>
          </w:p>
        </w:tc>
        <w:tc>
          <w:tcPr>
            <w:tcW w:w="1377" w:type="dxa"/>
            <w:shd w:val="clear" w:color="auto" w:fill="D9D9D9" w:themeFill="background1" w:themeFillShade="D9"/>
          </w:tcPr>
          <w:p w14:paraId="06A23E5B"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N/A</w:t>
            </w:r>
          </w:p>
        </w:tc>
        <w:tc>
          <w:tcPr>
            <w:tcW w:w="1484" w:type="dxa"/>
            <w:shd w:val="clear" w:color="auto" w:fill="D9D9D9" w:themeFill="background1" w:themeFillShade="D9"/>
          </w:tcPr>
          <w:p w14:paraId="193EEE72"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N/A</w:t>
            </w:r>
          </w:p>
        </w:tc>
        <w:tc>
          <w:tcPr>
            <w:tcW w:w="1459" w:type="dxa"/>
            <w:shd w:val="clear" w:color="auto" w:fill="D9D9D9" w:themeFill="background1" w:themeFillShade="D9"/>
          </w:tcPr>
          <w:p w14:paraId="1E4E4689"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N/A</w:t>
            </w:r>
          </w:p>
        </w:tc>
      </w:tr>
      <w:tr w:rsidR="0045067A" w:rsidRPr="0045067A" w14:paraId="30984132" w14:textId="77777777" w:rsidTr="00DD238F">
        <w:trPr>
          <w:cantSplit/>
          <w:jc w:val="center"/>
        </w:trPr>
        <w:tc>
          <w:tcPr>
            <w:tcW w:w="2094" w:type="dxa"/>
          </w:tcPr>
          <w:p w14:paraId="35DC72BD"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Kiribati</w:t>
            </w:r>
          </w:p>
        </w:tc>
        <w:tc>
          <w:tcPr>
            <w:tcW w:w="1431" w:type="dxa"/>
            <w:shd w:val="clear" w:color="auto" w:fill="auto"/>
          </w:tcPr>
          <w:p w14:paraId="652A8ABC"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ss 32, 33, 34</w:t>
            </w:r>
          </w:p>
        </w:tc>
        <w:tc>
          <w:tcPr>
            <w:tcW w:w="1273" w:type="dxa"/>
            <w:shd w:val="clear" w:color="auto" w:fill="D9D9D9" w:themeFill="background1" w:themeFillShade="D9"/>
          </w:tcPr>
          <w:p w14:paraId="2C19327A"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N/A</w:t>
            </w:r>
          </w:p>
        </w:tc>
        <w:tc>
          <w:tcPr>
            <w:tcW w:w="1377" w:type="dxa"/>
            <w:shd w:val="clear" w:color="auto" w:fill="D9D9D9" w:themeFill="background1" w:themeFillShade="D9"/>
          </w:tcPr>
          <w:p w14:paraId="5DB2468A"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N/A</w:t>
            </w:r>
          </w:p>
        </w:tc>
        <w:tc>
          <w:tcPr>
            <w:tcW w:w="1484" w:type="dxa"/>
            <w:shd w:val="clear" w:color="auto" w:fill="auto"/>
          </w:tcPr>
          <w:p w14:paraId="1B48FC45"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s 28</w:t>
            </w:r>
          </w:p>
        </w:tc>
        <w:tc>
          <w:tcPr>
            <w:tcW w:w="1459" w:type="dxa"/>
            <w:shd w:val="clear" w:color="auto" w:fill="D9D9D9" w:themeFill="background1" w:themeFillShade="D9"/>
          </w:tcPr>
          <w:p w14:paraId="5A029844"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N/A</w:t>
            </w:r>
          </w:p>
        </w:tc>
      </w:tr>
      <w:tr w:rsidR="00124FCC" w:rsidRPr="0045067A" w14:paraId="52CD5BA0" w14:textId="77777777" w:rsidTr="00124FCC">
        <w:trPr>
          <w:cantSplit/>
          <w:jc w:val="center"/>
        </w:trPr>
        <w:tc>
          <w:tcPr>
            <w:tcW w:w="2094" w:type="dxa"/>
          </w:tcPr>
          <w:p w14:paraId="5C09E27F" w14:textId="7CEA0E1D" w:rsidR="00124FCC" w:rsidRPr="0045067A" w:rsidRDefault="00124FCC" w:rsidP="00124FCC">
            <w:pPr>
              <w:rPr>
                <w:rFonts w:eastAsia="Times New Roman" w:cstheme="minorHAnsi"/>
                <w:b/>
                <w:highlight w:val="yellow"/>
                <w:lang w:eastAsia="en-AU"/>
              </w:rPr>
            </w:pPr>
            <w:r w:rsidRPr="005E45F8">
              <w:rPr>
                <w:rFonts w:eastAsia="Times New Roman" w:cstheme="minorHAnsi"/>
                <w:b/>
                <w:lang w:eastAsia="en-AU"/>
              </w:rPr>
              <w:t>Nauru</w:t>
            </w:r>
          </w:p>
        </w:tc>
        <w:tc>
          <w:tcPr>
            <w:tcW w:w="1431" w:type="dxa"/>
            <w:shd w:val="clear" w:color="auto" w:fill="auto"/>
          </w:tcPr>
          <w:p w14:paraId="0242F8FC" w14:textId="520943CA" w:rsidR="00124FCC" w:rsidRPr="0045067A" w:rsidRDefault="00124FCC" w:rsidP="00124FCC">
            <w:pPr>
              <w:rPr>
                <w:rFonts w:eastAsia="Times New Roman" w:cstheme="minorHAnsi"/>
                <w:highlight w:val="yellow"/>
                <w:lang w:eastAsia="en-AU"/>
              </w:rPr>
            </w:pPr>
            <w:r w:rsidRPr="00854C60">
              <w:rPr>
                <w:rFonts w:cstheme="minorHAnsi"/>
              </w:rPr>
              <w:t>ss147A, 176</w:t>
            </w:r>
          </w:p>
        </w:tc>
        <w:tc>
          <w:tcPr>
            <w:tcW w:w="1273" w:type="dxa"/>
            <w:shd w:val="clear" w:color="auto" w:fill="D9D9D9" w:themeFill="background1" w:themeFillShade="D9"/>
          </w:tcPr>
          <w:p w14:paraId="5E567CAA" w14:textId="77777777" w:rsidR="00124FCC" w:rsidRPr="0045067A" w:rsidRDefault="00124FCC" w:rsidP="00124FCC">
            <w:pPr>
              <w:rPr>
                <w:rFonts w:eastAsia="Times New Roman" w:cstheme="minorHAnsi"/>
                <w:highlight w:val="yellow"/>
                <w:lang w:eastAsia="en-AU"/>
              </w:rPr>
            </w:pPr>
            <w:r w:rsidRPr="0045067A">
              <w:rPr>
                <w:rFonts w:eastAsia="Times New Roman" w:cstheme="minorHAnsi"/>
                <w:lang w:eastAsia="en-AU"/>
              </w:rPr>
              <w:t>N/A</w:t>
            </w:r>
          </w:p>
        </w:tc>
        <w:tc>
          <w:tcPr>
            <w:tcW w:w="1377" w:type="dxa"/>
            <w:shd w:val="clear" w:color="auto" w:fill="D9D9D9" w:themeFill="background1" w:themeFillShade="D9"/>
          </w:tcPr>
          <w:p w14:paraId="36F96A8A" w14:textId="77777777" w:rsidR="00124FCC" w:rsidRPr="0045067A" w:rsidRDefault="00124FCC" w:rsidP="00124FCC">
            <w:pPr>
              <w:rPr>
                <w:rFonts w:eastAsia="Times New Roman" w:cstheme="minorHAnsi"/>
                <w:highlight w:val="yellow"/>
                <w:lang w:eastAsia="en-AU"/>
              </w:rPr>
            </w:pPr>
            <w:r w:rsidRPr="0045067A">
              <w:rPr>
                <w:rFonts w:eastAsia="Times New Roman" w:cstheme="minorHAnsi"/>
                <w:lang w:eastAsia="en-AU"/>
              </w:rPr>
              <w:t>N/A</w:t>
            </w:r>
          </w:p>
        </w:tc>
        <w:tc>
          <w:tcPr>
            <w:tcW w:w="1484" w:type="dxa"/>
            <w:shd w:val="clear" w:color="auto" w:fill="D9D9D9" w:themeFill="background1" w:themeFillShade="D9"/>
          </w:tcPr>
          <w:p w14:paraId="19790661" w14:textId="77777777" w:rsidR="00124FCC" w:rsidRPr="0045067A" w:rsidRDefault="00124FCC" w:rsidP="00124FCC">
            <w:pPr>
              <w:rPr>
                <w:rFonts w:eastAsia="Times New Roman" w:cstheme="minorHAnsi"/>
                <w:highlight w:val="yellow"/>
                <w:lang w:eastAsia="en-AU"/>
              </w:rPr>
            </w:pPr>
            <w:r w:rsidRPr="0045067A">
              <w:rPr>
                <w:rFonts w:eastAsia="Times New Roman" w:cstheme="minorHAnsi"/>
                <w:lang w:eastAsia="en-AU"/>
              </w:rPr>
              <w:t>N/A</w:t>
            </w:r>
          </w:p>
        </w:tc>
        <w:tc>
          <w:tcPr>
            <w:tcW w:w="1459" w:type="dxa"/>
            <w:shd w:val="clear" w:color="auto" w:fill="D9D9D9" w:themeFill="background1" w:themeFillShade="D9"/>
          </w:tcPr>
          <w:p w14:paraId="52F66D56" w14:textId="77777777" w:rsidR="00124FCC" w:rsidRPr="0045067A" w:rsidRDefault="00124FCC" w:rsidP="00124FCC">
            <w:pPr>
              <w:rPr>
                <w:rFonts w:eastAsia="Times New Roman" w:cstheme="minorHAnsi"/>
                <w:highlight w:val="yellow"/>
                <w:lang w:eastAsia="en-AU"/>
              </w:rPr>
            </w:pPr>
            <w:r w:rsidRPr="0045067A">
              <w:rPr>
                <w:rFonts w:eastAsia="Times New Roman" w:cstheme="minorHAnsi"/>
                <w:lang w:eastAsia="en-AU"/>
              </w:rPr>
              <w:t>N/A</w:t>
            </w:r>
          </w:p>
        </w:tc>
      </w:tr>
      <w:tr w:rsidR="0045067A" w:rsidRPr="0045067A" w14:paraId="22F954D9" w14:textId="77777777" w:rsidTr="00DD238F">
        <w:trPr>
          <w:cantSplit/>
          <w:jc w:val="center"/>
        </w:trPr>
        <w:tc>
          <w:tcPr>
            <w:tcW w:w="2094" w:type="dxa"/>
          </w:tcPr>
          <w:p w14:paraId="2B40EBBB" w14:textId="77777777" w:rsidR="0045067A" w:rsidRPr="0045067A" w:rsidRDefault="0045067A" w:rsidP="0045067A">
            <w:pPr>
              <w:rPr>
                <w:rFonts w:eastAsia="Times New Roman" w:cstheme="minorHAnsi"/>
                <w:b/>
                <w:highlight w:val="yellow"/>
                <w:lang w:eastAsia="en-AU"/>
              </w:rPr>
            </w:pPr>
            <w:r w:rsidRPr="0045067A">
              <w:rPr>
                <w:rFonts w:eastAsia="Times New Roman" w:cstheme="minorHAnsi"/>
                <w:b/>
                <w:lang w:eastAsia="en-AU"/>
              </w:rPr>
              <w:t>Palau</w:t>
            </w:r>
          </w:p>
        </w:tc>
        <w:tc>
          <w:tcPr>
            <w:tcW w:w="1431" w:type="dxa"/>
            <w:shd w:val="clear" w:color="auto" w:fill="auto"/>
          </w:tcPr>
          <w:p w14:paraId="74A04045"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Rules 801, 802, 803</w:t>
            </w:r>
          </w:p>
        </w:tc>
        <w:tc>
          <w:tcPr>
            <w:tcW w:w="1273" w:type="dxa"/>
          </w:tcPr>
          <w:p w14:paraId="42CE8104"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Rules 702, 703, 704, 705</w:t>
            </w:r>
          </w:p>
        </w:tc>
        <w:tc>
          <w:tcPr>
            <w:tcW w:w="1377" w:type="dxa"/>
            <w:shd w:val="clear" w:color="auto" w:fill="D9D9D9" w:themeFill="background1" w:themeFillShade="D9"/>
          </w:tcPr>
          <w:p w14:paraId="07384A4D"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N/A</w:t>
            </w:r>
          </w:p>
        </w:tc>
        <w:tc>
          <w:tcPr>
            <w:tcW w:w="1484" w:type="dxa"/>
          </w:tcPr>
          <w:p w14:paraId="15872944"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Rule 1001</w:t>
            </w:r>
          </w:p>
        </w:tc>
        <w:tc>
          <w:tcPr>
            <w:tcW w:w="1459" w:type="dxa"/>
          </w:tcPr>
          <w:p w14:paraId="7D46DF81"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Rules 401, 402, 403</w:t>
            </w:r>
          </w:p>
        </w:tc>
      </w:tr>
      <w:tr w:rsidR="0045067A" w:rsidRPr="0045067A" w14:paraId="3EF8998C" w14:textId="77777777" w:rsidTr="00DD238F">
        <w:trPr>
          <w:cantSplit/>
          <w:jc w:val="center"/>
        </w:trPr>
        <w:tc>
          <w:tcPr>
            <w:tcW w:w="2094" w:type="dxa"/>
          </w:tcPr>
          <w:p w14:paraId="5238BB68"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lastRenderedPageBreak/>
              <w:t>Papua New Guinea</w:t>
            </w:r>
          </w:p>
        </w:tc>
        <w:tc>
          <w:tcPr>
            <w:tcW w:w="1431" w:type="dxa"/>
            <w:shd w:val="clear" w:color="auto" w:fill="auto"/>
          </w:tcPr>
          <w:p w14:paraId="657A75EC"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s61, 91, 92, 93, 94</w:t>
            </w:r>
          </w:p>
          <w:p w14:paraId="260AC337" w14:textId="77777777" w:rsidR="0045067A" w:rsidRPr="0045067A" w:rsidRDefault="0045067A" w:rsidP="0045067A">
            <w:pPr>
              <w:rPr>
                <w:rFonts w:eastAsia="Times New Roman" w:cstheme="minorHAnsi"/>
                <w:i/>
                <w:lang w:eastAsia="en-AU"/>
              </w:rPr>
            </w:pPr>
            <w:r w:rsidRPr="0045067A">
              <w:rPr>
                <w:rFonts w:eastAsia="Times New Roman" w:cstheme="minorHAnsi"/>
                <w:i/>
                <w:lang w:eastAsia="en-AU"/>
              </w:rPr>
              <w:t>(Evidence Act)</w:t>
            </w:r>
          </w:p>
        </w:tc>
        <w:tc>
          <w:tcPr>
            <w:tcW w:w="1273" w:type="dxa"/>
            <w:shd w:val="clear" w:color="auto" w:fill="D9D9D9" w:themeFill="background1" w:themeFillShade="D9"/>
          </w:tcPr>
          <w:p w14:paraId="05EFDEB7"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N/A</w:t>
            </w:r>
          </w:p>
        </w:tc>
        <w:tc>
          <w:tcPr>
            <w:tcW w:w="1377" w:type="dxa"/>
          </w:tcPr>
          <w:p w14:paraId="5E3FBBC4" w14:textId="77777777" w:rsidR="0045067A" w:rsidRPr="0045067A" w:rsidRDefault="0045067A" w:rsidP="0045067A">
            <w:pPr>
              <w:rPr>
                <w:rFonts w:eastAsia="Times New Roman" w:cstheme="minorHAnsi"/>
                <w:iCs/>
                <w:sz w:val="20"/>
                <w:szCs w:val="20"/>
                <w:lang w:val="en-GB" w:eastAsia="en-AU"/>
              </w:rPr>
            </w:pPr>
            <w:r w:rsidRPr="0045067A">
              <w:rPr>
                <w:rFonts w:eastAsia="Times New Roman" w:cstheme="minorHAnsi"/>
                <w:iCs/>
                <w:sz w:val="20"/>
                <w:szCs w:val="20"/>
                <w:lang w:val="en-GB" w:eastAsia="en-AU"/>
              </w:rPr>
              <w:t>s 9, 14</w:t>
            </w:r>
          </w:p>
          <w:p w14:paraId="4E132B43" w14:textId="77777777" w:rsidR="0045067A" w:rsidRPr="0045067A" w:rsidRDefault="0045067A" w:rsidP="0045067A">
            <w:pPr>
              <w:rPr>
                <w:rFonts w:eastAsia="Times New Roman" w:cstheme="minorHAnsi"/>
                <w:i/>
                <w:lang w:eastAsia="en-AU"/>
              </w:rPr>
            </w:pPr>
            <w:r w:rsidRPr="0045067A">
              <w:rPr>
                <w:rFonts w:eastAsia="Times New Roman" w:cstheme="minorHAnsi"/>
                <w:i/>
                <w:lang w:eastAsia="en-AU"/>
              </w:rPr>
              <w:t>(Evidence Act)</w:t>
            </w:r>
          </w:p>
        </w:tc>
        <w:tc>
          <w:tcPr>
            <w:tcW w:w="1484" w:type="dxa"/>
          </w:tcPr>
          <w:p w14:paraId="506F9A1B"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 12 (</w:t>
            </w:r>
            <w:r w:rsidRPr="0045067A">
              <w:rPr>
                <w:rFonts w:eastAsia="Times New Roman" w:cstheme="minorHAnsi"/>
                <w:i/>
                <w:lang w:eastAsia="en-AU"/>
              </w:rPr>
              <w:t>Electronic Transactions Act</w:t>
            </w:r>
            <w:r w:rsidRPr="0045067A">
              <w:rPr>
                <w:rFonts w:eastAsia="Times New Roman" w:cstheme="minorHAnsi"/>
                <w:lang w:eastAsia="en-AU"/>
              </w:rPr>
              <w:t xml:space="preserve">) </w:t>
            </w:r>
          </w:p>
          <w:p w14:paraId="6477E5CF"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ss 64, 65, 66, 67 (</w:t>
            </w:r>
            <w:r w:rsidRPr="0045067A">
              <w:rPr>
                <w:rFonts w:eastAsia="Times New Roman" w:cstheme="minorHAnsi"/>
                <w:i/>
                <w:lang w:eastAsia="en-AU"/>
              </w:rPr>
              <w:t>Evidence Act</w:t>
            </w:r>
            <w:r w:rsidRPr="0045067A">
              <w:rPr>
                <w:rFonts w:eastAsia="Times New Roman" w:cstheme="minorHAnsi"/>
                <w:lang w:eastAsia="en-AU"/>
              </w:rPr>
              <w:t>)</w:t>
            </w:r>
          </w:p>
        </w:tc>
        <w:tc>
          <w:tcPr>
            <w:tcW w:w="1459" w:type="dxa"/>
          </w:tcPr>
          <w:p w14:paraId="66B81488"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s 26 (</w:t>
            </w:r>
            <w:r w:rsidRPr="0045067A">
              <w:rPr>
                <w:rFonts w:eastAsia="Times New Roman" w:cstheme="minorHAnsi"/>
                <w:i/>
                <w:lang w:eastAsia="en-AU"/>
              </w:rPr>
              <w:t>Evidence Act</w:t>
            </w:r>
            <w:r w:rsidRPr="0045067A">
              <w:rPr>
                <w:rFonts w:eastAsia="Times New Roman" w:cstheme="minorHAnsi"/>
                <w:lang w:eastAsia="en-AU"/>
              </w:rPr>
              <w:t>)</w:t>
            </w:r>
          </w:p>
        </w:tc>
      </w:tr>
      <w:tr w:rsidR="0045067A" w:rsidRPr="0045067A" w14:paraId="54952695" w14:textId="77777777" w:rsidTr="00DD238F">
        <w:trPr>
          <w:cantSplit/>
          <w:jc w:val="center"/>
        </w:trPr>
        <w:tc>
          <w:tcPr>
            <w:tcW w:w="2094" w:type="dxa"/>
          </w:tcPr>
          <w:p w14:paraId="6227582A"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Republic of Marshall Islands</w:t>
            </w:r>
          </w:p>
        </w:tc>
        <w:tc>
          <w:tcPr>
            <w:tcW w:w="1431" w:type="dxa"/>
            <w:shd w:val="clear" w:color="auto" w:fill="auto"/>
          </w:tcPr>
          <w:p w14:paraId="1A6E27F7"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s3 Rules 803, 902</w:t>
            </w:r>
          </w:p>
        </w:tc>
        <w:tc>
          <w:tcPr>
            <w:tcW w:w="1273" w:type="dxa"/>
          </w:tcPr>
          <w:p w14:paraId="0EFFE701"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s3 Rules 702, 703, 704, 705</w:t>
            </w:r>
          </w:p>
        </w:tc>
        <w:tc>
          <w:tcPr>
            <w:tcW w:w="1377" w:type="dxa"/>
            <w:shd w:val="clear" w:color="auto" w:fill="D9D9D9" w:themeFill="background1" w:themeFillShade="D9"/>
          </w:tcPr>
          <w:p w14:paraId="0A4DD4A7"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N/A</w:t>
            </w:r>
          </w:p>
        </w:tc>
        <w:tc>
          <w:tcPr>
            <w:tcW w:w="1484" w:type="dxa"/>
          </w:tcPr>
          <w:p w14:paraId="66E3C27D"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s3 Rule 1001.</w:t>
            </w:r>
          </w:p>
        </w:tc>
        <w:tc>
          <w:tcPr>
            <w:tcW w:w="1459" w:type="dxa"/>
            <w:shd w:val="clear" w:color="auto" w:fill="auto"/>
          </w:tcPr>
          <w:p w14:paraId="4AA91B9D" w14:textId="77777777" w:rsidR="0045067A" w:rsidRPr="0045067A" w:rsidRDefault="0045067A" w:rsidP="0045067A">
            <w:pPr>
              <w:rPr>
                <w:rFonts w:eastAsia="Times New Roman" w:cstheme="minorHAnsi"/>
                <w:color w:val="FF0000"/>
                <w:lang w:eastAsia="en-AU"/>
              </w:rPr>
            </w:pPr>
            <w:r w:rsidRPr="0045067A">
              <w:rPr>
                <w:rFonts w:eastAsia="Times New Roman" w:cstheme="minorHAnsi"/>
                <w:lang w:eastAsia="en-AU"/>
              </w:rPr>
              <w:t>s3 Rules 104, 401, 402, 403</w:t>
            </w:r>
          </w:p>
        </w:tc>
      </w:tr>
      <w:tr w:rsidR="0045067A" w:rsidRPr="0045067A" w14:paraId="4EFC4FB0" w14:textId="77777777" w:rsidTr="00DD238F">
        <w:trPr>
          <w:cantSplit/>
          <w:jc w:val="center"/>
        </w:trPr>
        <w:tc>
          <w:tcPr>
            <w:tcW w:w="2094" w:type="dxa"/>
          </w:tcPr>
          <w:p w14:paraId="78F60615"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Samoa</w:t>
            </w:r>
          </w:p>
        </w:tc>
        <w:tc>
          <w:tcPr>
            <w:tcW w:w="1431" w:type="dxa"/>
            <w:shd w:val="clear" w:color="auto" w:fill="auto"/>
          </w:tcPr>
          <w:p w14:paraId="1154394F" w14:textId="435065BA" w:rsidR="0045067A" w:rsidRPr="0045067A" w:rsidRDefault="00C5335E" w:rsidP="0045067A">
            <w:pPr>
              <w:rPr>
                <w:rFonts w:eastAsia="Times New Roman" w:cstheme="minorHAnsi"/>
                <w:lang w:eastAsia="en-AU"/>
              </w:rPr>
            </w:pPr>
            <w:hyperlink w:anchor="s_9" w:history="1">
              <w:r w:rsidR="0045067A" w:rsidRPr="00954FF3">
                <w:rPr>
                  <w:rStyle w:val="Hyperlink"/>
                  <w:rFonts w:eastAsia="Times New Roman" w:cstheme="minorHAnsi"/>
                  <w:lang w:eastAsia="en-AU"/>
                </w:rPr>
                <w:t>ss 9</w:t>
              </w:r>
            </w:hyperlink>
            <w:r w:rsidR="0045067A" w:rsidRPr="0045067A">
              <w:rPr>
                <w:rFonts w:eastAsia="Times New Roman" w:cstheme="minorHAnsi"/>
                <w:lang w:eastAsia="en-AU"/>
              </w:rPr>
              <w:t xml:space="preserve">, </w:t>
            </w:r>
            <w:hyperlink w:anchor="s_10" w:history="1">
              <w:r w:rsidR="0045067A" w:rsidRPr="00954FF3">
                <w:rPr>
                  <w:rStyle w:val="Hyperlink"/>
                  <w:rFonts w:eastAsia="Times New Roman" w:cstheme="minorHAnsi"/>
                  <w:lang w:eastAsia="en-AU"/>
                </w:rPr>
                <w:t>10</w:t>
              </w:r>
            </w:hyperlink>
            <w:r w:rsidR="0045067A" w:rsidRPr="0045067A">
              <w:rPr>
                <w:rFonts w:eastAsia="Times New Roman" w:cstheme="minorHAnsi"/>
                <w:lang w:eastAsia="en-AU"/>
              </w:rPr>
              <w:t xml:space="preserve">, </w:t>
            </w:r>
            <w:hyperlink w:anchor="s_11" w:history="1">
              <w:r w:rsidR="0045067A" w:rsidRPr="00954FF3">
                <w:rPr>
                  <w:rStyle w:val="Hyperlink"/>
                  <w:rFonts w:eastAsia="Times New Roman" w:cstheme="minorHAnsi"/>
                  <w:lang w:eastAsia="en-AU"/>
                </w:rPr>
                <w:t>11</w:t>
              </w:r>
            </w:hyperlink>
          </w:p>
        </w:tc>
        <w:tc>
          <w:tcPr>
            <w:tcW w:w="1273" w:type="dxa"/>
          </w:tcPr>
          <w:p w14:paraId="672751E8" w14:textId="17159ACF" w:rsidR="0045067A" w:rsidRPr="0045067A" w:rsidRDefault="00C5335E" w:rsidP="0045067A">
            <w:pPr>
              <w:rPr>
                <w:rFonts w:eastAsia="Times New Roman" w:cstheme="minorHAnsi"/>
                <w:highlight w:val="yellow"/>
                <w:lang w:eastAsia="en-AU"/>
              </w:rPr>
            </w:pPr>
            <w:hyperlink w:anchor="s_2" w:history="1">
              <w:r w:rsidR="0045067A" w:rsidRPr="00954FF3">
                <w:rPr>
                  <w:rStyle w:val="Hyperlink"/>
                  <w:rFonts w:eastAsia="Times New Roman" w:cstheme="minorHAnsi"/>
                  <w:lang w:eastAsia="en-AU"/>
                </w:rPr>
                <w:t>ss 2</w:t>
              </w:r>
            </w:hyperlink>
            <w:r w:rsidR="0045067A" w:rsidRPr="0045067A">
              <w:rPr>
                <w:rFonts w:eastAsia="Times New Roman" w:cstheme="minorHAnsi"/>
                <w:lang w:eastAsia="en-AU"/>
              </w:rPr>
              <w:t xml:space="preserve">, </w:t>
            </w:r>
            <w:hyperlink w:anchor="s_16" w:history="1">
              <w:r w:rsidR="0045067A" w:rsidRPr="00954FF3">
                <w:rPr>
                  <w:rStyle w:val="Hyperlink"/>
                  <w:rFonts w:eastAsia="Times New Roman" w:cstheme="minorHAnsi"/>
                  <w:lang w:eastAsia="en-AU"/>
                </w:rPr>
                <w:t>16</w:t>
              </w:r>
            </w:hyperlink>
          </w:p>
        </w:tc>
        <w:tc>
          <w:tcPr>
            <w:tcW w:w="1377" w:type="dxa"/>
          </w:tcPr>
          <w:p w14:paraId="6A7E12B0" w14:textId="78ACC10A" w:rsidR="0045067A" w:rsidRPr="0045067A" w:rsidRDefault="00C5335E" w:rsidP="0045067A">
            <w:pPr>
              <w:rPr>
                <w:rFonts w:eastAsia="Times New Roman" w:cstheme="minorHAnsi"/>
                <w:highlight w:val="yellow"/>
                <w:lang w:eastAsia="en-AU"/>
              </w:rPr>
            </w:pPr>
            <w:hyperlink w:anchor="s_6" w:history="1">
              <w:r w:rsidR="0045067A" w:rsidRPr="00954FF3">
                <w:rPr>
                  <w:rStyle w:val="Hyperlink"/>
                  <w:rFonts w:eastAsia="Times New Roman" w:cstheme="minorHAnsi"/>
                  <w:lang w:eastAsia="en-AU"/>
                </w:rPr>
                <w:t>s 6</w:t>
              </w:r>
            </w:hyperlink>
          </w:p>
        </w:tc>
        <w:tc>
          <w:tcPr>
            <w:tcW w:w="1484" w:type="dxa"/>
          </w:tcPr>
          <w:p w14:paraId="019FC8E0" w14:textId="7076D7F3" w:rsidR="0045067A" w:rsidRPr="0045067A" w:rsidRDefault="00C5335E" w:rsidP="0045067A">
            <w:pPr>
              <w:rPr>
                <w:rFonts w:eastAsia="Times New Roman" w:cstheme="minorHAnsi"/>
                <w:lang w:eastAsia="en-AU"/>
              </w:rPr>
            </w:pPr>
            <w:hyperlink w:anchor="s_2_inter" w:history="1">
              <w:r w:rsidR="0045067A" w:rsidRPr="00954FF3">
                <w:rPr>
                  <w:rStyle w:val="Hyperlink"/>
                  <w:rFonts w:eastAsia="Times New Roman" w:cstheme="minorHAnsi"/>
                  <w:lang w:eastAsia="en-AU"/>
                </w:rPr>
                <w:t>s 2</w:t>
              </w:r>
            </w:hyperlink>
          </w:p>
        </w:tc>
        <w:tc>
          <w:tcPr>
            <w:tcW w:w="1459" w:type="dxa"/>
          </w:tcPr>
          <w:p w14:paraId="69E9F22B" w14:textId="543EF2C3" w:rsidR="0045067A" w:rsidRPr="0045067A" w:rsidRDefault="00C5335E" w:rsidP="0045067A">
            <w:pPr>
              <w:rPr>
                <w:rFonts w:eastAsia="Times New Roman" w:cstheme="minorHAnsi"/>
                <w:lang w:eastAsia="en-AU"/>
              </w:rPr>
            </w:pPr>
            <w:hyperlink w:anchor="s_70" w:history="1">
              <w:r w:rsidR="0045067A" w:rsidRPr="00954FF3">
                <w:rPr>
                  <w:rStyle w:val="Hyperlink"/>
                  <w:rFonts w:eastAsia="Times New Roman" w:cstheme="minorHAnsi"/>
                  <w:lang w:eastAsia="en-AU"/>
                </w:rPr>
                <w:t>s 70</w:t>
              </w:r>
            </w:hyperlink>
            <w:r w:rsidR="0045067A" w:rsidRPr="0045067A">
              <w:rPr>
                <w:rFonts w:eastAsia="Times New Roman" w:cstheme="minorHAnsi"/>
                <w:lang w:eastAsia="en-AU"/>
              </w:rPr>
              <w:t xml:space="preserve">, </w:t>
            </w:r>
            <w:hyperlink w:anchor="s_83" w:history="1">
              <w:r w:rsidR="0045067A" w:rsidRPr="00954FF3">
                <w:rPr>
                  <w:rStyle w:val="Hyperlink"/>
                  <w:rFonts w:eastAsia="Times New Roman" w:cstheme="minorHAnsi"/>
                  <w:lang w:eastAsia="en-AU"/>
                </w:rPr>
                <w:t>83</w:t>
              </w:r>
            </w:hyperlink>
          </w:p>
        </w:tc>
      </w:tr>
      <w:tr w:rsidR="0045067A" w:rsidRPr="0045067A" w14:paraId="558210BC" w14:textId="77777777" w:rsidTr="00DD238F">
        <w:trPr>
          <w:cantSplit/>
          <w:jc w:val="center"/>
        </w:trPr>
        <w:tc>
          <w:tcPr>
            <w:tcW w:w="2094" w:type="dxa"/>
          </w:tcPr>
          <w:p w14:paraId="4089DFBD"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Solomon Islands</w:t>
            </w:r>
          </w:p>
        </w:tc>
        <w:tc>
          <w:tcPr>
            <w:tcW w:w="1431" w:type="dxa"/>
            <w:shd w:val="clear" w:color="auto" w:fill="auto"/>
          </w:tcPr>
          <w:p w14:paraId="04593679"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ss 102, 103, 117, 118, 120</w:t>
            </w:r>
          </w:p>
        </w:tc>
        <w:tc>
          <w:tcPr>
            <w:tcW w:w="1273" w:type="dxa"/>
          </w:tcPr>
          <w:p w14:paraId="6D8B6724"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ss 24, 30, 129, 130</w:t>
            </w:r>
          </w:p>
        </w:tc>
        <w:tc>
          <w:tcPr>
            <w:tcW w:w="1377" w:type="dxa"/>
          </w:tcPr>
          <w:p w14:paraId="1800D035"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s 39, 40, 172</w:t>
            </w:r>
          </w:p>
        </w:tc>
        <w:tc>
          <w:tcPr>
            <w:tcW w:w="1484" w:type="dxa"/>
          </w:tcPr>
          <w:p w14:paraId="72404C1B"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s 122</w:t>
            </w:r>
          </w:p>
        </w:tc>
        <w:tc>
          <w:tcPr>
            <w:tcW w:w="1459" w:type="dxa"/>
          </w:tcPr>
          <w:p w14:paraId="27B49342"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ss 20, 21, 22</w:t>
            </w:r>
          </w:p>
        </w:tc>
      </w:tr>
      <w:tr w:rsidR="0045067A" w:rsidRPr="0045067A" w14:paraId="5AB46166" w14:textId="77777777" w:rsidTr="00DD238F">
        <w:trPr>
          <w:cantSplit/>
          <w:jc w:val="center"/>
        </w:trPr>
        <w:tc>
          <w:tcPr>
            <w:tcW w:w="2094" w:type="dxa"/>
          </w:tcPr>
          <w:p w14:paraId="79C8DA41"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Tokelau</w:t>
            </w:r>
          </w:p>
        </w:tc>
        <w:tc>
          <w:tcPr>
            <w:tcW w:w="1431" w:type="dxa"/>
            <w:shd w:val="clear" w:color="auto" w:fill="auto"/>
          </w:tcPr>
          <w:p w14:paraId="2969E747"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ss 163, 175</w:t>
            </w:r>
          </w:p>
        </w:tc>
        <w:tc>
          <w:tcPr>
            <w:tcW w:w="1273" w:type="dxa"/>
          </w:tcPr>
          <w:p w14:paraId="5EDA456A"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ss 164, 175</w:t>
            </w:r>
          </w:p>
        </w:tc>
        <w:tc>
          <w:tcPr>
            <w:tcW w:w="1377" w:type="dxa"/>
          </w:tcPr>
          <w:p w14:paraId="76A5DD4E"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s 175</w:t>
            </w:r>
          </w:p>
        </w:tc>
        <w:tc>
          <w:tcPr>
            <w:tcW w:w="1484" w:type="dxa"/>
            <w:shd w:val="clear" w:color="auto" w:fill="D9D9D9" w:themeFill="background1" w:themeFillShade="D9"/>
          </w:tcPr>
          <w:p w14:paraId="5427E575"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N/A</w:t>
            </w:r>
          </w:p>
        </w:tc>
        <w:tc>
          <w:tcPr>
            <w:tcW w:w="1459" w:type="dxa"/>
            <w:shd w:val="clear" w:color="auto" w:fill="D9D9D9" w:themeFill="background1" w:themeFillShade="D9"/>
          </w:tcPr>
          <w:p w14:paraId="199A978B"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N/A</w:t>
            </w:r>
          </w:p>
        </w:tc>
      </w:tr>
      <w:tr w:rsidR="0045067A" w:rsidRPr="0045067A" w14:paraId="2DF06BBF" w14:textId="77777777" w:rsidTr="00DD238F">
        <w:trPr>
          <w:cantSplit/>
          <w:jc w:val="center"/>
        </w:trPr>
        <w:tc>
          <w:tcPr>
            <w:tcW w:w="2094" w:type="dxa"/>
          </w:tcPr>
          <w:p w14:paraId="55095ED8" w14:textId="77777777" w:rsidR="0045067A" w:rsidRPr="0045067A" w:rsidRDefault="0045067A" w:rsidP="0045067A">
            <w:pPr>
              <w:rPr>
                <w:rFonts w:eastAsia="Times New Roman" w:cstheme="minorHAnsi"/>
                <w:b/>
                <w:lang w:eastAsia="en-AU"/>
              </w:rPr>
            </w:pPr>
            <w:r w:rsidRPr="0045067A">
              <w:rPr>
                <w:rFonts w:eastAsia="Times New Roman" w:cstheme="minorHAnsi"/>
                <w:b/>
                <w:lang w:eastAsia="en-AU"/>
              </w:rPr>
              <w:t>Tonga</w:t>
            </w:r>
          </w:p>
        </w:tc>
        <w:tc>
          <w:tcPr>
            <w:tcW w:w="1431" w:type="dxa"/>
            <w:shd w:val="clear" w:color="auto" w:fill="auto"/>
          </w:tcPr>
          <w:p w14:paraId="638867AC" w14:textId="77777777" w:rsidR="0045067A" w:rsidRPr="0045067A" w:rsidRDefault="0045067A" w:rsidP="0045067A">
            <w:pPr>
              <w:rPr>
                <w:rFonts w:eastAsia="Times New Roman" w:cstheme="minorHAnsi"/>
                <w:lang w:eastAsia="en-AU"/>
              </w:rPr>
            </w:pPr>
            <w:r w:rsidRPr="0045067A">
              <w:rPr>
                <w:rFonts w:eastAsia="Times New Roman" w:cstheme="minorHAnsi"/>
                <w:lang w:eastAsia="en-AU"/>
              </w:rPr>
              <w:t>ss 88, 89</w:t>
            </w:r>
          </w:p>
        </w:tc>
        <w:tc>
          <w:tcPr>
            <w:tcW w:w="1273" w:type="dxa"/>
          </w:tcPr>
          <w:p w14:paraId="02FE1E36"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s24, 25</w:t>
            </w:r>
          </w:p>
        </w:tc>
        <w:tc>
          <w:tcPr>
            <w:tcW w:w="1377" w:type="dxa"/>
          </w:tcPr>
          <w:p w14:paraId="69D9A03B"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 xml:space="preserve">s 4 </w:t>
            </w:r>
          </w:p>
        </w:tc>
        <w:tc>
          <w:tcPr>
            <w:tcW w:w="1484" w:type="dxa"/>
          </w:tcPr>
          <w:p w14:paraId="5CE4F47D"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ss 2, 54A, 54C, 54D, 54E, 54F</w:t>
            </w:r>
          </w:p>
        </w:tc>
        <w:tc>
          <w:tcPr>
            <w:tcW w:w="1459" w:type="dxa"/>
          </w:tcPr>
          <w:p w14:paraId="56845652" w14:textId="77777777" w:rsidR="0045067A" w:rsidRPr="0045067A" w:rsidRDefault="0045067A" w:rsidP="0045067A">
            <w:pPr>
              <w:rPr>
                <w:rFonts w:eastAsia="Times New Roman" w:cstheme="minorHAnsi"/>
                <w:highlight w:val="yellow"/>
                <w:lang w:eastAsia="en-AU"/>
              </w:rPr>
            </w:pPr>
            <w:r w:rsidRPr="0045067A">
              <w:rPr>
                <w:rFonts w:eastAsia="Times New Roman" w:cstheme="minorHAnsi"/>
                <w:lang w:eastAsia="en-AU"/>
              </w:rPr>
              <w:t>s 14</w:t>
            </w:r>
          </w:p>
        </w:tc>
      </w:tr>
      <w:tr w:rsidR="00124FCC" w:rsidRPr="0045067A" w14:paraId="39FE0BAB" w14:textId="77777777" w:rsidTr="00124FCC">
        <w:trPr>
          <w:cantSplit/>
          <w:jc w:val="center"/>
        </w:trPr>
        <w:tc>
          <w:tcPr>
            <w:tcW w:w="2094" w:type="dxa"/>
          </w:tcPr>
          <w:p w14:paraId="7B623DB3" w14:textId="5EA5C515" w:rsidR="00124FCC" w:rsidRPr="0045067A" w:rsidRDefault="00124FCC" w:rsidP="00124FCC">
            <w:pPr>
              <w:rPr>
                <w:rFonts w:eastAsia="Times New Roman" w:cstheme="minorHAnsi"/>
                <w:b/>
                <w:highlight w:val="yellow"/>
                <w:lang w:eastAsia="en-AU"/>
              </w:rPr>
            </w:pPr>
            <w:r w:rsidRPr="005E45F8">
              <w:rPr>
                <w:rFonts w:eastAsia="Times New Roman" w:cstheme="minorHAnsi"/>
                <w:b/>
                <w:lang w:eastAsia="en-AU"/>
              </w:rPr>
              <w:t>Vanuatu</w:t>
            </w:r>
          </w:p>
        </w:tc>
        <w:tc>
          <w:tcPr>
            <w:tcW w:w="1431" w:type="dxa"/>
            <w:shd w:val="clear" w:color="auto" w:fill="D9D9D9" w:themeFill="background1" w:themeFillShade="D9"/>
          </w:tcPr>
          <w:p w14:paraId="02E5E887" w14:textId="010A331C" w:rsidR="00124FCC" w:rsidRPr="0045067A" w:rsidRDefault="00124FCC" w:rsidP="00124FCC">
            <w:pPr>
              <w:rPr>
                <w:rFonts w:eastAsia="Times New Roman" w:cstheme="minorHAnsi"/>
                <w:highlight w:val="yellow"/>
                <w:lang w:eastAsia="en-AU"/>
              </w:rPr>
            </w:pPr>
            <w:r w:rsidRPr="005E45F8">
              <w:rPr>
                <w:rFonts w:eastAsia="Times New Roman" w:cstheme="minorHAnsi"/>
                <w:lang w:eastAsia="en-AU"/>
              </w:rPr>
              <w:t>N/A</w:t>
            </w:r>
          </w:p>
        </w:tc>
        <w:tc>
          <w:tcPr>
            <w:tcW w:w="1273" w:type="dxa"/>
            <w:shd w:val="clear" w:color="auto" w:fill="auto"/>
          </w:tcPr>
          <w:p w14:paraId="4916371E" w14:textId="57C1F00C" w:rsidR="00124FCC" w:rsidRPr="0045067A" w:rsidRDefault="00124FCC" w:rsidP="00124FCC">
            <w:pPr>
              <w:rPr>
                <w:rFonts w:eastAsia="Times New Roman" w:cstheme="minorHAnsi"/>
                <w:highlight w:val="yellow"/>
                <w:lang w:eastAsia="en-AU"/>
              </w:rPr>
            </w:pPr>
            <w:r>
              <w:rPr>
                <w:rFonts w:eastAsia="Times New Roman" w:cstheme="minorHAnsi"/>
                <w:lang w:eastAsia="en-AU"/>
              </w:rPr>
              <w:t>s86</w:t>
            </w:r>
          </w:p>
        </w:tc>
        <w:tc>
          <w:tcPr>
            <w:tcW w:w="1377" w:type="dxa"/>
            <w:shd w:val="clear" w:color="auto" w:fill="D9D9D9" w:themeFill="background1" w:themeFillShade="D9"/>
          </w:tcPr>
          <w:p w14:paraId="744D5CF4" w14:textId="418BB3AF" w:rsidR="00124FCC" w:rsidRPr="0045067A" w:rsidRDefault="00124FCC" w:rsidP="00124FCC">
            <w:pPr>
              <w:rPr>
                <w:rFonts w:eastAsia="Times New Roman" w:cstheme="minorHAnsi"/>
                <w:highlight w:val="yellow"/>
                <w:lang w:eastAsia="en-AU"/>
              </w:rPr>
            </w:pPr>
            <w:r w:rsidRPr="005E45F8">
              <w:rPr>
                <w:rFonts w:eastAsia="Times New Roman" w:cstheme="minorHAnsi"/>
                <w:lang w:eastAsia="en-AU"/>
              </w:rPr>
              <w:t>N/A</w:t>
            </w:r>
          </w:p>
        </w:tc>
        <w:tc>
          <w:tcPr>
            <w:tcW w:w="1484" w:type="dxa"/>
            <w:shd w:val="clear" w:color="auto" w:fill="D9D9D9" w:themeFill="background1" w:themeFillShade="D9"/>
          </w:tcPr>
          <w:p w14:paraId="56F3F26D" w14:textId="696D8368" w:rsidR="00124FCC" w:rsidRPr="0045067A" w:rsidRDefault="00124FCC" w:rsidP="00124FCC">
            <w:pPr>
              <w:rPr>
                <w:rFonts w:eastAsia="Times New Roman" w:cstheme="minorHAnsi"/>
                <w:lang w:eastAsia="en-AU"/>
              </w:rPr>
            </w:pPr>
            <w:r w:rsidRPr="005E45F8">
              <w:rPr>
                <w:rFonts w:eastAsia="Times New Roman" w:cstheme="minorHAnsi"/>
                <w:lang w:eastAsia="en-AU"/>
              </w:rPr>
              <w:t>N/A</w:t>
            </w:r>
          </w:p>
        </w:tc>
        <w:tc>
          <w:tcPr>
            <w:tcW w:w="1459" w:type="dxa"/>
            <w:shd w:val="clear" w:color="auto" w:fill="D9D9D9" w:themeFill="background1" w:themeFillShade="D9"/>
          </w:tcPr>
          <w:p w14:paraId="67A82E1D" w14:textId="0C2CC1D9" w:rsidR="00124FCC" w:rsidRPr="0045067A" w:rsidRDefault="00124FCC" w:rsidP="00124FCC">
            <w:pPr>
              <w:rPr>
                <w:rFonts w:eastAsia="Times New Roman" w:cstheme="minorHAnsi"/>
                <w:lang w:eastAsia="en-AU"/>
              </w:rPr>
            </w:pPr>
            <w:r w:rsidRPr="005E45F8">
              <w:rPr>
                <w:rFonts w:eastAsia="Times New Roman" w:cstheme="minorHAnsi"/>
                <w:lang w:eastAsia="en-AU"/>
              </w:rPr>
              <w:t>N/A</w:t>
            </w:r>
          </w:p>
        </w:tc>
      </w:tr>
    </w:tbl>
    <w:p w14:paraId="62125FA2" w14:textId="77777777" w:rsidR="0045067A" w:rsidRPr="0045067A" w:rsidRDefault="0045067A" w:rsidP="0045067A">
      <w:pPr>
        <w:spacing w:after="0" w:line="240" w:lineRule="auto"/>
        <w:rPr>
          <w:rFonts w:eastAsia="Times New Roman" w:cs="Times New Roman"/>
          <w:b/>
          <w:color w:val="0563C1" w:themeColor="hyperlink"/>
          <w:szCs w:val="24"/>
          <w:u w:val="single"/>
          <w:lang w:eastAsia="en-AU"/>
        </w:rPr>
      </w:pPr>
    </w:p>
    <w:p w14:paraId="75EBB2C0" w14:textId="77777777" w:rsidR="0045067A" w:rsidRPr="0045067A" w:rsidRDefault="0045067A" w:rsidP="0045067A">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45067A">
        <w:rPr>
          <w:rFonts w:eastAsiaTheme="minorEastAsia" w:cs="Times New Roman"/>
          <w:b/>
          <w:color w:val="002060"/>
          <w:kern w:val="32"/>
          <w:sz w:val="28"/>
          <w:szCs w:val="28"/>
          <w:lang w:val="en-US"/>
        </w:rPr>
        <w:t>Exceptions to Hearsay – Bankers’ books &amp; business records</w:t>
      </w:r>
    </w:p>
    <w:p w14:paraId="6E3554FA" w14:textId="77777777" w:rsidR="0045067A" w:rsidRPr="0045067A" w:rsidRDefault="0045067A" w:rsidP="0045067A">
      <w:pPr>
        <w:spacing w:after="0" w:line="240" w:lineRule="auto"/>
        <w:jc w:val="both"/>
        <w:rPr>
          <w:rFonts w:ascii="Calibri" w:eastAsia="Times New Roman" w:hAnsi="Calibri" w:cs="Calibri"/>
          <w:lang w:eastAsia="en-AU"/>
        </w:rPr>
      </w:pPr>
    </w:p>
    <w:p w14:paraId="0F09E3F3" w14:textId="77777777" w:rsidR="000E3D98" w:rsidRPr="000E3D98" w:rsidRDefault="000E3D98" w:rsidP="000E3D98">
      <w:pPr>
        <w:spacing w:after="0" w:line="240" w:lineRule="auto"/>
        <w:jc w:val="both"/>
        <w:rPr>
          <w:rFonts w:ascii="Calibri" w:eastAsia="Times New Roman" w:hAnsi="Calibri" w:cs="Calibri"/>
          <w:b/>
          <w:bCs/>
          <w:u w:val="single"/>
          <w:lang w:eastAsia="en-AU"/>
        </w:rPr>
      </w:pPr>
      <w:bookmarkStart w:id="11" w:name="s_9"/>
      <w:r w:rsidRPr="000E3D98">
        <w:rPr>
          <w:rFonts w:ascii="Calibri" w:eastAsia="Times New Roman" w:hAnsi="Calibri" w:cs="Calibri"/>
          <w:b/>
          <w:u w:val="single"/>
          <w:lang w:eastAsia="en-AU"/>
        </w:rPr>
        <w:t xml:space="preserve">s </w:t>
      </w:r>
      <w:r w:rsidRPr="000E3D98">
        <w:rPr>
          <w:rFonts w:ascii="Calibri" w:eastAsia="Times New Roman" w:hAnsi="Calibri" w:cs="Calibri"/>
          <w:b/>
          <w:bCs/>
          <w:u w:val="single"/>
          <w:lang w:eastAsia="en-AU"/>
        </w:rPr>
        <w:t>9. Definition</w:t>
      </w:r>
    </w:p>
    <w:bookmarkEnd w:id="11"/>
    <w:p w14:paraId="097A8EC3" w14:textId="77777777" w:rsidR="000E3D98" w:rsidRPr="000E3D98" w:rsidRDefault="000E3D98" w:rsidP="000E3D98">
      <w:pPr>
        <w:spacing w:after="0" w:line="240" w:lineRule="auto"/>
        <w:jc w:val="both"/>
        <w:rPr>
          <w:rFonts w:ascii="Calibri" w:eastAsia="Times New Roman" w:hAnsi="Calibri" w:cs="Calibri"/>
          <w:lang w:eastAsia="en-AU"/>
        </w:rPr>
      </w:pPr>
      <w:r w:rsidRPr="000E3D98">
        <w:rPr>
          <w:rFonts w:ascii="Calibri" w:eastAsia="Times New Roman" w:hAnsi="Calibri" w:cs="Calibri"/>
          <w:lang w:eastAsia="en-AU"/>
        </w:rPr>
        <w:t>(1) In this Division:</w:t>
      </w:r>
    </w:p>
    <w:p w14:paraId="3DC38C22" w14:textId="77777777" w:rsidR="000E3D98" w:rsidRPr="000E3D98" w:rsidRDefault="000E3D98" w:rsidP="000E3D98">
      <w:pPr>
        <w:spacing w:after="0" w:line="240" w:lineRule="auto"/>
        <w:jc w:val="both"/>
        <w:rPr>
          <w:rFonts w:ascii="Calibri" w:eastAsia="Times New Roman" w:hAnsi="Calibri" w:cs="Calibri"/>
          <w:lang w:eastAsia="en-AU"/>
        </w:rPr>
      </w:pPr>
      <w:r w:rsidRPr="000E3D98">
        <w:rPr>
          <w:rFonts w:ascii="Calibri" w:eastAsia="Times New Roman" w:hAnsi="Calibri" w:cs="Calibri"/>
          <w:lang w:eastAsia="en-AU"/>
        </w:rPr>
        <w:t>“</w:t>
      </w:r>
      <w:r w:rsidRPr="000E3D98">
        <w:rPr>
          <w:rFonts w:ascii="Calibri" w:eastAsia="Times New Roman" w:hAnsi="Calibri" w:cs="Calibri"/>
          <w:b/>
          <w:lang w:eastAsia="en-AU"/>
        </w:rPr>
        <w:t>business</w:t>
      </w:r>
      <w:r w:rsidRPr="000E3D98">
        <w:rPr>
          <w:rFonts w:ascii="Calibri" w:eastAsia="Times New Roman" w:hAnsi="Calibri" w:cs="Calibri"/>
          <w:lang w:eastAsia="en-AU"/>
        </w:rPr>
        <w:t>”:</w:t>
      </w:r>
    </w:p>
    <w:p w14:paraId="11E3BE29"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(a) means any business, profession, trade, manufacture, occupation, or calling of any kind; and</w:t>
      </w:r>
    </w:p>
    <w:p w14:paraId="6902DB25"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(b) includes the activities of a Ministry, local authority, public body, body corporate, organisation, or society.</w:t>
      </w:r>
    </w:p>
    <w:p w14:paraId="2D9E19BF"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w:t>
      </w:r>
      <w:r w:rsidRPr="000E3D98">
        <w:rPr>
          <w:rFonts w:ascii="Calibri" w:eastAsia="Times New Roman" w:hAnsi="Calibri" w:cs="Calibri"/>
          <w:b/>
          <w:lang w:eastAsia="en-AU"/>
        </w:rPr>
        <w:t>business record</w:t>
      </w:r>
      <w:r w:rsidRPr="000E3D98">
        <w:rPr>
          <w:rFonts w:ascii="Calibri" w:eastAsia="Times New Roman" w:hAnsi="Calibri" w:cs="Calibri"/>
          <w:lang w:eastAsia="en-AU"/>
        </w:rPr>
        <w:t>” means a document:</w:t>
      </w:r>
    </w:p>
    <w:p w14:paraId="254E7F2B"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(a) that is made -</w:t>
      </w:r>
    </w:p>
    <w:p w14:paraId="4F7152BC" w14:textId="77777777" w:rsidR="000E3D98" w:rsidRPr="000E3D98" w:rsidRDefault="000E3D98" w:rsidP="000E3D98">
      <w:pPr>
        <w:spacing w:after="0" w:line="240" w:lineRule="auto"/>
        <w:ind w:left="720" w:firstLine="720"/>
        <w:jc w:val="both"/>
        <w:rPr>
          <w:rFonts w:ascii="Calibri" w:eastAsia="Times New Roman" w:hAnsi="Calibri" w:cs="Calibri"/>
          <w:lang w:eastAsia="en-AU"/>
        </w:rPr>
      </w:pPr>
      <w:r w:rsidRPr="000E3D98">
        <w:rPr>
          <w:rFonts w:ascii="Calibri" w:eastAsia="Times New Roman" w:hAnsi="Calibri" w:cs="Calibri"/>
          <w:lang w:eastAsia="en-AU"/>
        </w:rPr>
        <w:t>(i) to comply with a duty; or</w:t>
      </w:r>
    </w:p>
    <w:p w14:paraId="497FE664" w14:textId="77777777" w:rsidR="000E3D98" w:rsidRPr="000E3D98" w:rsidRDefault="000E3D98" w:rsidP="000E3D98">
      <w:pPr>
        <w:spacing w:after="0" w:line="240" w:lineRule="auto"/>
        <w:ind w:left="720" w:firstLine="720"/>
        <w:jc w:val="both"/>
        <w:rPr>
          <w:rFonts w:ascii="Calibri" w:eastAsia="Times New Roman" w:hAnsi="Calibri" w:cs="Calibri"/>
          <w:lang w:eastAsia="en-AU"/>
        </w:rPr>
      </w:pPr>
      <w:r w:rsidRPr="000E3D98">
        <w:rPr>
          <w:rFonts w:ascii="Calibri" w:eastAsia="Times New Roman" w:hAnsi="Calibri" w:cs="Calibri"/>
          <w:lang w:eastAsia="en-AU"/>
        </w:rPr>
        <w:t>(ii) in the course of a business, and as a record or part of a record of that business; and</w:t>
      </w:r>
    </w:p>
    <w:p w14:paraId="4AB659FA"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(b) that is made from information supplied directly or indirectly by a person who had, or may reasonably be supposed by the court to have had, personal knowledge of the matters dealt with in the information he or she supplied.</w:t>
      </w:r>
    </w:p>
    <w:p w14:paraId="50A6A8E1"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w:t>
      </w:r>
      <w:r w:rsidRPr="000E3D98">
        <w:rPr>
          <w:rFonts w:ascii="Calibri" w:eastAsia="Times New Roman" w:hAnsi="Calibri" w:cs="Calibri"/>
          <w:b/>
          <w:lang w:eastAsia="en-AU"/>
        </w:rPr>
        <w:t>circumstances</w:t>
      </w:r>
      <w:r w:rsidRPr="000E3D98">
        <w:rPr>
          <w:rFonts w:ascii="Calibri" w:eastAsia="Times New Roman" w:hAnsi="Calibri" w:cs="Calibri"/>
          <w:lang w:eastAsia="en-AU"/>
        </w:rPr>
        <w:t>”, in relation to a statement by a person who is not a witness, includes:</w:t>
      </w:r>
    </w:p>
    <w:p w14:paraId="24A9B082"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(a) the nature of the statement; and</w:t>
      </w:r>
    </w:p>
    <w:p w14:paraId="1CE52CDE"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(b) the contents of the statement; and</w:t>
      </w:r>
    </w:p>
    <w:p w14:paraId="1EF6F89F"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(c) the circumstances that relate to the making of the statement; and</w:t>
      </w:r>
    </w:p>
    <w:p w14:paraId="03ACB98B"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(d) any circumstances that relate to the veracity of the person; and</w:t>
      </w:r>
    </w:p>
    <w:p w14:paraId="1456AB71"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(e) any circumstances that relate to the accuracy of the observation of the person.</w:t>
      </w:r>
    </w:p>
    <w:p w14:paraId="5BFBCC64" w14:textId="77777777" w:rsidR="000E3D98" w:rsidRPr="000E3D98" w:rsidRDefault="000E3D98" w:rsidP="000E3D98">
      <w:pPr>
        <w:spacing w:after="0" w:line="240" w:lineRule="auto"/>
        <w:ind w:left="720"/>
        <w:jc w:val="both"/>
        <w:rPr>
          <w:rFonts w:ascii="Calibri" w:eastAsia="Times New Roman" w:hAnsi="Calibri" w:cs="Calibri"/>
          <w:lang w:eastAsia="en-AU"/>
        </w:rPr>
      </w:pPr>
    </w:p>
    <w:p w14:paraId="65DCF6F6" w14:textId="77777777" w:rsidR="000E3D98" w:rsidRPr="000E3D98" w:rsidRDefault="000E3D98" w:rsidP="000E3D98">
      <w:pPr>
        <w:spacing w:after="0" w:line="240" w:lineRule="auto"/>
        <w:jc w:val="both"/>
        <w:rPr>
          <w:rFonts w:ascii="Calibri" w:eastAsia="Times New Roman" w:hAnsi="Calibri" w:cs="Calibri"/>
          <w:lang w:eastAsia="en-AU"/>
        </w:rPr>
      </w:pPr>
      <w:r w:rsidRPr="000E3D98">
        <w:rPr>
          <w:rFonts w:ascii="Calibri" w:eastAsia="Times New Roman" w:hAnsi="Calibri" w:cs="Calibri"/>
          <w:lang w:eastAsia="en-AU"/>
        </w:rPr>
        <w:t>(2) For the purpose of this Division, a person is unavailable as a witness in a proceeding if the person:</w:t>
      </w:r>
    </w:p>
    <w:p w14:paraId="68FB2504"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(a) is dead; or</w:t>
      </w:r>
    </w:p>
    <w:p w14:paraId="05C7E8A4"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(b) is outside Samoa and it is not reasonably practicable for the person to be a witness; or</w:t>
      </w:r>
    </w:p>
    <w:p w14:paraId="61349B6A"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(c) is unfit to be a witness because of age or physical or mental condition; or</w:t>
      </w:r>
    </w:p>
    <w:p w14:paraId="3A3B286B"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(d) cannot with reasonable diligence be identified or found; or</w:t>
      </w:r>
    </w:p>
    <w:p w14:paraId="0A8A74D4"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(e) is not compellable to give evidence.</w:t>
      </w:r>
    </w:p>
    <w:p w14:paraId="7CB0A854" w14:textId="77777777" w:rsidR="000E3D98" w:rsidRPr="000E3D98" w:rsidRDefault="000E3D98" w:rsidP="000E3D98">
      <w:pPr>
        <w:spacing w:after="0" w:line="240" w:lineRule="auto"/>
        <w:jc w:val="both"/>
        <w:rPr>
          <w:rFonts w:ascii="Calibri" w:eastAsia="Times New Roman" w:hAnsi="Calibri" w:cs="Calibri"/>
          <w:lang w:eastAsia="en-AU"/>
        </w:rPr>
      </w:pPr>
    </w:p>
    <w:p w14:paraId="20368B04" w14:textId="77777777" w:rsidR="000E3D98" w:rsidRPr="000E3D98" w:rsidRDefault="000E3D98" w:rsidP="000E3D98">
      <w:pPr>
        <w:spacing w:after="0" w:line="240" w:lineRule="auto"/>
        <w:jc w:val="both"/>
        <w:rPr>
          <w:rFonts w:ascii="Calibri" w:eastAsia="Times New Roman" w:hAnsi="Calibri" w:cs="Calibri"/>
          <w:lang w:eastAsia="en-AU"/>
        </w:rPr>
      </w:pPr>
      <w:r w:rsidRPr="000E3D98">
        <w:rPr>
          <w:rFonts w:ascii="Calibri" w:eastAsia="Times New Roman" w:hAnsi="Calibri" w:cs="Calibri"/>
          <w:lang w:eastAsia="en-AU"/>
        </w:rPr>
        <w:t>(3) Subsection (2) does not apply to a person whose statement is sought to be offered in evidence by a party who has caused the person to be unavailable in order to prevent the person from attending or giving evidence.</w:t>
      </w:r>
    </w:p>
    <w:p w14:paraId="677FCC87" w14:textId="77777777" w:rsidR="000E3D98" w:rsidRPr="000E3D98" w:rsidRDefault="000E3D98" w:rsidP="000E3D98">
      <w:pPr>
        <w:spacing w:after="0" w:line="240" w:lineRule="auto"/>
        <w:jc w:val="both"/>
        <w:rPr>
          <w:rFonts w:ascii="Calibri" w:eastAsia="Times New Roman" w:hAnsi="Calibri" w:cs="Calibri"/>
          <w:lang w:eastAsia="en-AU"/>
        </w:rPr>
      </w:pPr>
      <w:r w:rsidRPr="000E3D98">
        <w:rPr>
          <w:rFonts w:ascii="Calibri" w:eastAsia="Times New Roman" w:hAnsi="Calibri" w:cs="Calibri"/>
          <w:lang w:eastAsia="en-AU"/>
        </w:rPr>
        <w:br/>
        <w:t>(4) A hearsay statement is not admissible except:</w:t>
      </w:r>
    </w:p>
    <w:p w14:paraId="2CD63A1A"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(a) as provided by this Division or by the provisions of any other enactment; or</w:t>
      </w:r>
    </w:p>
    <w:p w14:paraId="317FAFDE"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(b) in cases where -</w:t>
      </w:r>
    </w:p>
    <w:p w14:paraId="0A8AA8E0" w14:textId="77777777" w:rsidR="000E3D98" w:rsidRPr="000E3D98" w:rsidRDefault="000E3D98" w:rsidP="000E3D98">
      <w:pPr>
        <w:spacing w:after="0" w:line="240" w:lineRule="auto"/>
        <w:ind w:left="1440"/>
        <w:jc w:val="both"/>
        <w:rPr>
          <w:rFonts w:ascii="Calibri" w:eastAsia="Times New Roman" w:hAnsi="Calibri" w:cs="Calibri"/>
          <w:lang w:eastAsia="en-AU"/>
        </w:rPr>
      </w:pPr>
      <w:r w:rsidRPr="000E3D98">
        <w:rPr>
          <w:rFonts w:ascii="Calibri" w:eastAsia="Times New Roman" w:hAnsi="Calibri" w:cs="Calibri"/>
          <w:lang w:eastAsia="en-AU"/>
        </w:rPr>
        <w:t>(i) this Act provides that this Division does not apply; and</w:t>
      </w:r>
    </w:p>
    <w:p w14:paraId="047D48F5" w14:textId="77777777" w:rsidR="000E3D98" w:rsidRPr="000E3D98" w:rsidRDefault="000E3D98" w:rsidP="000E3D98">
      <w:pPr>
        <w:spacing w:after="0" w:line="240" w:lineRule="auto"/>
        <w:ind w:left="1440"/>
        <w:jc w:val="both"/>
        <w:rPr>
          <w:rFonts w:ascii="Calibri" w:eastAsia="Times New Roman" w:hAnsi="Calibri" w:cs="Calibri"/>
          <w:lang w:eastAsia="en-AU"/>
        </w:rPr>
      </w:pPr>
      <w:r w:rsidRPr="000E3D98">
        <w:rPr>
          <w:rFonts w:ascii="Calibri" w:eastAsia="Times New Roman" w:hAnsi="Calibri" w:cs="Calibri"/>
          <w:lang w:eastAsia="en-AU"/>
        </w:rPr>
        <w:t>(ii) the hearsay statement is relevant and not otherwise inadmissible under this Act.</w:t>
      </w:r>
    </w:p>
    <w:p w14:paraId="55649F97" w14:textId="77777777" w:rsidR="000E3D98" w:rsidRPr="000E3D98" w:rsidRDefault="000E3D98" w:rsidP="000E3D98">
      <w:pPr>
        <w:spacing w:after="0" w:line="240" w:lineRule="auto"/>
        <w:jc w:val="both"/>
        <w:rPr>
          <w:rFonts w:ascii="Calibri" w:eastAsia="Times New Roman" w:hAnsi="Calibri" w:cs="Calibri"/>
          <w:b/>
          <w:bCs/>
          <w:lang w:eastAsia="en-AU"/>
        </w:rPr>
      </w:pPr>
    </w:p>
    <w:p w14:paraId="104B53BA" w14:textId="77777777" w:rsidR="000E3D98" w:rsidRPr="000E3D98" w:rsidRDefault="000E3D98" w:rsidP="000E3D98">
      <w:pPr>
        <w:spacing w:after="0" w:line="240" w:lineRule="auto"/>
        <w:jc w:val="both"/>
        <w:rPr>
          <w:rFonts w:ascii="Calibri" w:eastAsia="Times New Roman" w:hAnsi="Calibri" w:cs="Calibri"/>
          <w:bCs/>
          <w:lang w:eastAsia="en-AU"/>
        </w:rPr>
      </w:pPr>
      <w:bookmarkStart w:id="12" w:name="s_10"/>
      <w:r w:rsidRPr="000E3D98">
        <w:rPr>
          <w:rFonts w:ascii="Calibri" w:eastAsia="Times New Roman" w:hAnsi="Calibri" w:cs="Calibri"/>
          <w:b/>
          <w:u w:val="single"/>
          <w:lang w:eastAsia="en-AU"/>
        </w:rPr>
        <w:t xml:space="preserve">s </w:t>
      </w:r>
      <w:r w:rsidRPr="000E3D98">
        <w:rPr>
          <w:rFonts w:ascii="Calibri" w:eastAsia="Times New Roman" w:hAnsi="Calibri" w:cs="Calibri"/>
          <w:b/>
          <w:bCs/>
          <w:u w:val="single"/>
          <w:lang w:eastAsia="en-AU"/>
        </w:rPr>
        <w:t>10. General rule as to admissibility of hearsay</w:t>
      </w:r>
    </w:p>
    <w:bookmarkEnd w:id="12"/>
    <w:p w14:paraId="34D7C151" w14:textId="77777777" w:rsidR="000E3D98" w:rsidRPr="000E3D98" w:rsidRDefault="000E3D98" w:rsidP="000E3D98">
      <w:pPr>
        <w:spacing w:after="0" w:line="240" w:lineRule="auto"/>
        <w:jc w:val="both"/>
        <w:rPr>
          <w:rFonts w:ascii="Calibri" w:eastAsia="Times New Roman" w:hAnsi="Calibri" w:cs="Calibri"/>
          <w:b/>
          <w:bCs/>
          <w:lang w:eastAsia="en-AU"/>
        </w:rPr>
      </w:pPr>
      <w:r w:rsidRPr="000E3D98">
        <w:rPr>
          <w:rFonts w:ascii="Calibri" w:eastAsia="Times New Roman" w:hAnsi="Calibri" w:cs="Calibri"/>
          <w:bCs/>
          <w:lang w:eastAsia="en-AU"/>
        </w:rPr>
        <w:t>(1) Subject to subsections (2) to (4) and section 12, a hearsay statement is admissible in any proceeding if:</w:t>
      </w:r>
    </w:p>
    <w:p w14:paraId="5420037C" w14:textId="77777777" w:rsidR="000E3D98" w:rsidRPr="000E3D98" w:rsidRDefault="000E3D98" w:rsidP="000E3D98">
      <w:pPr>
        <w:spacing w:after="0" w:line="240" w:lineRule="auto"/>
        <w:ind w:left="720"/>
        <w:jc w:val="both"/>
        <w:rPr>
          <w:rFonts w:ascii="Calibri" w:eastAsia="Times New Roman" w:hAnsi="Calibri" w:cs="Calibri"/>
          <w:bCs/>
          <w:lang w:eastAsia="en-AU"/>
        </w:rPr>
      </w:pPr>
      <w:r w:rsidRPr="000E3D98">
        <w:rPr>
          <w:rFonts w:ascii="Calibri" w:eastAsia="Times New Roman" w:hAnsi="Calibri" w:cs="Calibri"/>
          <w:bCs/>
          <w:lang w:eastAsia="en-AU"/>
        </w:rPr>
        <w:t>(a) the circumstances relating to the statement provide reasonable assurance that the statement is reliable; and</w:t>
      </w:r>
    </w:p>
    <w:p w14:paraId="6B329BB0" w14:textId="77777777" w:rsidR="000E3D98" w:rsidRPr="000E3D98" w:rsidRDefault="000E3D98" w:rsidP="000E3D98">
      <w:pPr>
        <w:spacing w:after="0" w:line="240" w:lineRule="auto"/>
        <w:ind w:left="720"/>
        <w:jc w:val="both"/>
        <w:rPr>
          <w:rFonts w:ascii="Calibri" w:eastAsia="Times New Roman" w:hAnsi="Calibri" w:cs="Calibri"/>
          <w:bCs/>
          <w:lang w:eastAsia="en-AU"/>
        </w:rPr>
      </w:pPr>
      <w:r w:rsidRPr="000E3D98">
        <w:rPr>
          <w:rFonts w:ascii="Calibri" w:eastAsia="Times New Roman" w:hAnsi="Calibri" w:cs="Calibri"/>
          <w:bCs/>
          <w:lang w:eastAsia="en-AU"/>
        </w:rPr>
        <w:t>(b) either –</w:t>
      </w:r>
    </w:p>
    <w:p w14:paraId="0F8BA182" w14:textId="77777777" w:rsidR="000E3D98" w:rsidRPr="000E3D98" w:rsidRDefault="000E3D98" w:rsidP="000E3D98">
      <w:pPr>
        <w:spacing w:after="0" w:line="240" w:lineRule="auto"/>
        <w:ind w:left="720" w:firstLine="720"/>
        <w:jc w:val="both"/>
        <w:rPr>
          <w:rFonts w:ascii="Calibri" w:eastAsia="Times New Roman" w:hAnsi="Calibri" w:cs="Calibri"/>
          <w:bCs/>
          <w:lang w:eastAsia="en-AU"/>
        </w:rPr>
      </w:pPr>
      <w:r w:rsidRPr="000E3D98">
        <w:rPr>
          <w:rFonts w:ascii="Calibri" w:eastAsia="Times New Roman" w:hAnsi="Calibri" w:cs="Calibri"/>
          <w:bCs/>
          <w:lang w:eastAsia="en-AU"/>
        </w:rPr>
        <w:t xml:space="preserve">(i) the maker of the statement is unavailable as a witness; or </w:t>
      </w:r>
    </w:p>
    <w:p w14:paraId="7ABFA15C" w14:textId="77777777" w:rsidR="000E3D98" w:rsidRPr="000E3D98" w:rsidRDefault="000E3D98" w:rsidP="000E3D98">
      <w:pPr>
        <w:spacing w:after="0" w:line="240" w:lineRule="auto"/>
        <w:ind w:left="1440"/>
        <w:jc w:val="both"/>
        <w:rPr>
          <w:rFonts w:ascii="Calibri" w:eastAsia="Times New Roman" w:hAnsi="Calibri" w:cs="Calibri"/>
          <w:bCs/>
          <w:lang w:eastAsia="en-AU"/>
        </w:rPr>
      </w:pPr>
      <w:r w:rsidRPr="000E3D98">
        <w:rPr>
          <w:rFonts w:ascii="Calibri" w:eastAsia="Times New Roman" w:hAnsi="Calibri" w:cs="Calibri"/>
          <w:bCs/>
          <w:lang w:eastAsia="en-AU"/>
        </w:rPr>
        <w:t>(ii) the Judge considers that undue expense or delay would be caused if the maker of the statement were required to be a witness.</w:t>
      </w:r>
    </w:p>
    <w:p w14:paraId="249E3BE9" w14:textId="77777777" w:rsidR="000E3D98" w:rsidRPr="000E3D98" w:rsidRDefault="000E3D98" w:rsidP="000E3D98">
      <w:pPr>
        <w:spacing w:after="0" w:line="240" w:lineRule="auto"/>
        <w:jc w:val="both"/>
        <w:rPr>
          <w:rFonts w:ascii="Calibri" w:eastAsia="Times New Roman" w:hAnsi="Calibri" w:cs="Calibri"/>
          <w:bCs/>
          <w:lang w:eastAsia="en-AU"/>
        </w:rPr>
      </w:pPr>
    </w:p>
    <w:p w14:paraId="656D2C4A" w14:textId="77777777" w:rsidR="000E3D98" w:rsidRPr="000E3D98" w:rsidRDefault="000E3D98" w:rsidP="000E3D98">
      <w:pPr>
        <w:spacing w:after="0" w:line="240" w:lineRule="auto"/>
        <w:jc w:val="both"/>
        <w:rPr>
          <w:rFonts w:ascii="Calibri" w:eastAsia="Times New Roman" w:hAnsi="Calibri" w:cs="Calibri"/>
          <w:bCs/>
          <w:lang w:eastAsia="en-AU"/>
        </w:rPr>
      </w:pPr>
      <w:r w:rsidRPr="000E3D98">
        <w:rPr>
          <w:rFonts w:ascii="Calibri" w:eastAsia="Times New Roman" w:hAnsi="Calibri" w:cs="Calibri"/>
          <w:bCs/>
          <w:lang w:eastAsia="en-AU"/>
        </w:rPr>
        <w:t>(2) A party intending to offer hearsay evidence under this Subdivision must, within sufficient time before the hearing, provide the court and any other party with notice of the party’s intention to offer the hearsay statement in evidence.</w:t>
      </w:r>
    </w:p>
    <w:p w14:paraId="2848FA23" w14:textId="77777777" w:rsidR="000E3D98" w:rsidRPr="000E3D98" w:rsidRDefault="000E3D98" w:rsidP="000E3D98">
      <w:pPr>
        <w:spacing w:after="0" w:line="240" w:lineRule="auto"/>
        <w:jc w:val="both"/>
        <w:rPr>
          <w:rFonts w:ascii="Calibri" w:eastAsia="Times New Roman" w:hAnsi="Calibri" w:cs="Calibri"/>
          <w:bCs/>
          <w:lang w:eastAsia="en-AU"/>
        </w:rPr>
      </w:pPr>
    </w:p>
    <w:p w14:paraId="12B0CFBC" w14:textId="77777777" w:rsidR="000E3D98" w:rsidRPr="000E3D98" w:rsidRDefault="000E3D98" w:rsidP="000E3D98">
      <w:pPr>
        <w:spacing w:after="0" w:line="240" w:lineRule="auto"/>
        <w:jc w:val="both"/>
        <w:rPr>
          <w:rFonts w:ascii="Calibri" w:eastAsia="Times New Roman" w:hAnsi="Calibri" w:cs="Calibri"/>
          <w:bCs/>
          <w:lang w:eastAsia="en-AU"/>
        </w:rPr>
      </w:pPr>
      <w:r w:rsidRPr="000E3D98">
        <w:rPr>
          <w:rFonts w:ascii="Calibri" w:eastAsia="Times New Roman" w:hAnsi="Calibri" w:cs="Calibri"/>
          <w:bCs/>
          <w:lang w:eastAsia="en-AU"/>
        </w:rPr>
        <w:t>(3) In criminal proceedings, the notice under subsection (2) must:</w:t>
      </w:r>
    </w:p>
    <w:p w14:paraId="241E098F"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(a) state the name of the maker of the statement, if known, (subject to any witness anonymity order under Division 8 of Part 4);</w:t>
      </w:r>
    </w:p>
    <w:p w14:paraId="2F617783"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(b) if the hearsay statement was made in writing, be accompanied by a copy of the statement in which the statement is contained;</w:t>
      </w:r>
    </w:p>
    <w:p w14:paraId="493297C8"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(c) if the hearsay statement was made orally, state the content of the hearsay statement;</w:t>
      </w:r>
    </w:p>
    <w:p w14:paraId="34F5C087"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(d) if section 10(1)(a) is relied on, state the circumstances relating to the statement that provide reasonable assurance that the statement is reliable;</w:t>
      </w:r>
    </w:p>
    <w:p w14:paraId="52E7D1F5"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(e) if section 11 is relied on, state why the document is a business record;</w:t>
      </w:r>
    </w:p>
    <w:p w14:paraId="226E98D2"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(f) if section 10(1)(b)(i) or 11(a) is relied on, state why the person is unavailable as a witness;</w:t>
      </w:r>
    </w:p>
    <w:p w14:paraId="07E96A96"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(g) if section 10(1)(b)(ii) or 11(c) is relied on, state why undue expense or delay would be caused if the person were required to be a witness.</w:t>
      </w:r>
    </w:p>
    <w:p w14:paraId="20AABC1C" w14:textId="77777777" w:rsidR="000E3D98" w:rsidRPr="000E3D98" w:rsidRDefault="000E3D98" w:rsidP="000E3D98">
      <w:pPr>
        <w:spacing w:after="0" w:line="240" w:lineRule="auto"/>
        <w:jc w:val="both"/>
        <w:rPr>
          <w:rFonts w:ascii="Calibri" w:eastAsia="Times New Roman" w:hAnsi="Calibri" w:cs="Calibri"/>
          <w:lang w:eastAsia="en-AU"/>
        </w:rPr>
      </w:pPr>
    </w:p>
    <w:p w14:paraId="50FF39D0" w14:textId="77777777" w:rsidR="000E3D98" w:rsidRPr="000E3D98" w:rsidRDefault="000E3D98" w:rsidP="000E3D98">
      <w:pPr>
        <w:spacing w:after="0" w:line="240" w:lineRule="auto"/>
        <w:jc w:val="both"/>
        <w:rPr>
          <w:rFonts w:ascii="Calibri" w:eastAsia="Times New Roman" w:hAnsi="Calibri" w:cs="Calibri"/>
          <w:lang w:eastAsia="en-AU"/>
        </w:rPr>
      </w:pPr>
      <w:r w:rsidRPr="000E3D98">
        <w:rPr>
          <w:rFonts w:ascii="Calibri" w:eastAsia="Times New Roman" w:hAnsi="Calibri" w:cs="Calibri"/>
          <w:lang w:eastAsia="en-AU"/>
        </w:rPr>
        <w:t>(4) The Judge may dispense with the requirements of subsection (2) if:</w:t>
      </w:r>
    </w:p>
    <w:p w14:paraId="6A59D0E1"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(a) having regard to the nature and contents of the hearsay statement, no party is substantially prejudiced by the failure to comply with the requirements; or</w:t>
      </w:r>
    </w:p>
    <w:p w14:paraId="12AF2C4C"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(b) compliance was not reasonably practicable in the circumstances; or</w:t>
      </w:r>
    </w:p>
    <w:p w14:paraId="654309F1" w14:textId="77777777" w:rsidR="000E3D98" w:rsidRPr="000E3D98" w:rsidRDefault="000E3D98" w:rsidP="000E3D98">
      <w:pPr>
        <w:spacing w:after="0" w:line="240" w:lineRule="auto"/>
        <w:ind w:left="720"/>
        <w:jc w:val="both"/>
        <w:rPr>
          <w:rFonts w:ascii="Calibri" w:eastAsia="Times New Roman" w:hAnsi="Calibri" w:cs="Calibri"/>
          <w:lang w:eastAsia="en-AU"/>
        </w:rPr>
      </w:pPr>
      <w:r w:rsidRPr="000E3D98">
        <w:rPr>
          <w:rFonts w:ascii="Calibri" w:eastAsia="Times New Roman" w:hAnsi="Calibri" w:cs="Calibri"/>
          <w:lang w:eastAsia="en-AU"/>
        </w:rPr>
        <w:t>(c) the interests of justice so require.</w:t>
      </w:r>
    </w:p>
    <w:p w14:paraId="57E15471" w14:textId="77777777" w:rsidR="000E3D98" w:rsidRPr="000E3D98" w:rsidRDefault="000E3D98" w:rsidP="000E3D98">
      <w:pPr>
        <w:spacing w:after="0" w:line="240" w:lineRule="auto"/>
        <w:jc w:val="both"/>
        <w:rPr>
          <w:rFonts w:ascii="Calibri" w:eastAsia="Times New Roman" w:hAnsi="Calibri" w:cs="Calibri"/>
          <w:bCs/>
          <w:lang w:eastAsia="en-AU"/>
        </w:rPr>
      </w:pPr>
    </w:p>
    <w:p w14:paraId="7A71507C" w14:textId="77777777" w:rsidR="000E3D98" w:rsidRPr="000E3D98" w:rsidRDefault="000E3D98" w:rsidP="000E3D98">
      <w:pPr>
        <w:spacing w:after="0" w:line="240" w:lineRule="auto"/>
        <w:jc w:val="both"/>
        <w:rPr>
          <w:rFonts w:ascii="Calibri" w:eastAsia="Times New Roman" w:hAnsi="Calibri" w:cs="Calibri"/>
          <w:b/>
          <w:bCs/>
          <w:lang w:eastAsia="en-AU"/>
        </w:rPr>
      </w:pPr>
      <w:bookmarkStart w:id="13" w:name="s_11"/>
      <w:r w:rsidRPr="000E3D98">
        <w:rPr>
          <w:rFonts w:ascii="Calibri" w:eastAsia="Times New Roman" w:hAnsi="Calibri" w:cs="Calibri"/>
          <w:b/>
          <w:u w:val="single"/>
          <w:lang w:eastAsia="en-AU"/>
        </w:rPr>
        <w:t xml:space="preserve">s </w:t>
      </w:r>
      <w:r w:rsidRPr="000E3D98">
        <w:rPr>
          <w:rFonts w:ascii="Calibri" w:eastAsia="Times New Roman" w:hAnsi="Calibri" w:cs="Calibri"/>
          <w:b/>
          <w:bCs/>
          <w:u w:val="single"/>
          <w:lang w:eastAsia="en-AU"/>
        </w:rPr>
        <w:t>11. Admissibility of hearsay in business records</w:t>
      </w:r>
      <w:r w:rsidRPr="000E3D98">
        <w:rPr>
          <w:rFonts w:ascii="Calibri" w:eastAsia="Times New Roman" w:hAnsi="Calibri" w:cs="Calibri"/>
          <w:b/>
          <w:bCs/>
          <w:lang w:eastAsia="en-AU"/>
        </w:rPr>
        <w:t> </w:t>
      </w:r>
    </w:p>
    <w:bookmarkEnd w:id="13"/>
    <w:p w14:paraId="6829924A" w14:textId="77777777" w:rsidR="000E3D98" w:rsidRPr="000E3D98" w:rsidRDefault="000E3D98" w:rsidP="000E3D98">
      <w:pPr>
        <w:spacing w:after="0" w:line="240" w:lineRule="auto"/>
        <w:jc w:val="both"/>
        <w:rPr>
          <w:rFonts w:ascii="Calibri" w:eastAsia="Times New Roman" w:hAnsi="Calibri" w:cs="Calibri"/>
          <w:bCs/>
          <w:lang w:eastAsia="en-AU"/>
        </w:rPr>
      </w:pPr>
      <w:r w:rsidRPr="000E3D98">
        <w:rPr>
          <w:rFonts w:ascii="Calibri" w:eastAsia="Times New Roman" w:hAnsi="Calibri" w:cs="Calibri"/>
          <w:bCs/>
          <w:lang w:eastAsia="en-AU"/>
        </w:rPr>
        <w:t>Subject to sections 10(2) and 12, a hearsay statement contained in a business record is admissible if:</w:t>
      </w:r>
    </w:p>
    <w:p w14:paraId="1DDE1ACB" w14:textId="77777777" w:rsidR="000E3D98" w:rsidRPr="000E3D98" w:rsidRDefault="000E3D98" w:rsidP="000E3D98">
      <w:pPr>
        <w:spacing w:after="0" w:line="240" w:lineRule="auto"/>
        <w:ind w:left="720"/>
        <w:jc w:val="both"/>
        <w:rPr>
          <w:rFonts w:ascii="Calibri" w:eastAsia="Times New Roman" w:hAnsi="Calibri" w:cs="Calibri"/>
          <w:bCs/>
          <w:lang w:eastAsia="en-AU"/>
        </w:rPr>
      </w:pPr>
      <w:bookmarkStart w:id="14" w:name="_Ref301505589"/>
      <w:bookmarkEnd w:id="14"/>
      <w:r w:rsidRPr="000E3D98">
        <w:rPr>
          <w:rFonts w:ascii="Calibri" w:eastAsia="Times New Roman" w:hAnsi="Calibri" w:cs="Calibri"/>
          <w:bCs/>
          <w:lang w:eastAsia="en-AU"/>
        </w:rPr>
        <w:t>(a) the person who supplied the information used for the composition of the record is unavailable as a witness; or</w:t>
      </w:r>
    </w:p>
    <w:p w14:paraId="6CB6A586" w14:textId="77777777" w:rsidR="000E3D98" w:rsidRPr="000E3D98" w:rsidRDefault="000E3D98" w:rsidP="000E3D98">
      <w:pPr>
        <w:spacing w:after="0" w:line="240" w:lineRule="auto"/>
        <w:ind w:left="720"/>
        <w:jc w:val="both"/>
        <w:rPr>
          <w:rFonts w:ascii="Calibri" w:eastAsia="Times New Roman" w:hAnsi="Calibri" w:cs="Calibri"/>
          <w:bCs/>
          <w:lang w:eastAsia="en-AU"/>
        </w:rPr>
      </w:pPr>
      <w:r w:rsidRPr="000E3D98">
        <w:rPr>
          <w:rFonts w:ascii="Calibri" w:eastAsia="Times New Roman" w:hAnsi="Calibri" w:cs="Calibri"/>
          <w:bCs/>
          <w:lang w:eastAsia="en-AU"/>
        </w:rPr>
        <w:lastRenderedPageBreak/>
        <w:t>(b) the Judge considers no useful purpose would be served by requiring that person to be a witness as that person cannot reasonably be expected (having regard to the time that has elapsed since the person supplied the information and to all the other circumstances of the case) to recollect the matters dealt with in the information the person supplied; or</w:t>
      </w:r>
    </w:p>
    <w:p w14:paraId="35F90655" w14:textId="77777777" w:rsidR="000E3D98" w:rsidRPr="000E3D98" w:rsidRDefault="000E3D98" w:rsidP="000E3D98">
      <w:pPr>
        <w:spacing w:after="0" w:line="240" w:lineRule="auto"/>
        <w:ind w:left="720"/>
        <w:jc w:val="both"/>
        <w:rPr>
          <w:rFonts w:ascii="Calibri" w:eastAsia="Times New Roman" w:hAnsi="Calibri" w:cs="Calibri"/>
          <w:bCs/>
          <w:lang w:eastAsia="en-AU"/>
        </w:rPr>
      </w:pPr>
      <w:bookmarkStart w:id="15" w:name="_Ref301505643"/>
      <w:bookmarkEnd w:id="15"/>
      <w:r w:rsidRPr="000E3D98">
        <w:rPr>
          <w:rFonts w:ascii="Calibri" w:eastAsia="Times New Roman" w:hAnsi="Calibri" w:cs="Calibri"/>
          <w:bCs/>
          <w:lang w:eastAsia="en-AU"/>
        </w:rPr>
        <w:t>(c) the Judge considers that undue expense or delay would be caused if that person were required to be a witness.</w:t>
      </w:r>
    </w:p>
    <w:p w14:paraId="2D74C013" w14:textId="77777777" w:rsidR="0045067A" w:rsidRPr="0045067A" w:rsidRDefault="0045067A" w:rsidP="0045067A">
      <w:pPr>
        <w:spacing w:after="0" w:line="240" w:lineRule="auto"/>
        <w:ind w:left="709" w:hanging="709"/>
        <w:contextualSpacing/>
        <w:jc w:val="both"/>
        <w:rPr>
          <w:rFonts w:ascii="Calibri" w:eastAsia="Times New Roman" w:hAnsi="Calibri" w:cs="Calibri"/>
          <w:lang w:eastAsia="en-AU"/>
        </w:rPr>
      </w:pPr>
    </w:p>
    <w:p w14:paraId="72F96088" w14:textId="77777777" w:rsidR="0045067A" w:rsidRPr="0045067A" w:rsidRDefault="0045067A" w:rsidP="0045067A">
      <w:pPr>
        <w:keepNext/>
        <w:pBdr>
          <w:bottom w:val="single" w:sz="4" w:space="1" w:color="44546A" w:themeColor="text2"/>
        </w:pBdr>
        <w:spacing w:before="120" w:after="120" w:line="240" w:lineRule="auto"/>
        <w:outlineLvl w:val="0"/>
        <w:rPr>
          <w:rFonts w:eastAsiaTheme="minorEastAsia" w:cs="Times New Roman"/>
          <w:b/>
          <w:color w:val="002060"/>
          <w:kern w:val="32"/>
          <w:sz w:val="28"/>
          <w:szCs w:val="28"/>
          <w:lang w:val="en-US"/>
        </w:rPr>
      </w:pPr>
      <w:r w:rsidRPr="0045067A">
        <w:rPr>
          <w:rFonts w:eastAsiaTheme="minorEastAsia" w:cs="Times New Roman"/>
          <w:b/>
          <w:color w:val="002060"/>
          <w:kern w:val="32"/>
          <w:sz w:val="28"/>
          <w:szCs w:val="28"/>
          <w:lang w:val="en-US"/>
        </w:rPr>
        <w:t>Expert Evidence</w:t>
      </w:r>
    </w:p>
    <w:p w14:paraId="63F9341F" w14:textId="77777777" w:rsidR="0045067A" w:rsidRPr="0045067A" w:rsidRDefault="0045067A" w:rsidP="0045067A">
      <w:pPr>
        <w:spacing w:after="0" w:line="240" w:lineRule="auto"/>
        <w:ind w:left="720" w:hanging="720"/>
        <w:jc w:val="both"/>
        <w:rPr>
          <w:rFonts w:eastAsia="Times New Roman" w:cstheme="minorHAnsi"/>
          <w:lang w:eastAsia="en-AU"/>
        </w:rPr>
      </w:pPr>
    </w:p>
    <w:p w14:paraId="6A5166B2" w14:textId="77777777" w:rsidR="00C63871" w:rsidRPr="00C63871" w:rsidRDefault="00C63871" w:rsidP="00C63871">
      <w:pPr>
        <w:spacing w:after="0" w:line="240" w:lineRule="auto"/>
        <w:jc w:val="both"/>
        <w:rPr>
          <w:rFonts w:ascii="Calibri" w:eastAsia="Times New Roman" w:hAnsi="Calibri" w:cs="Calibri"/>
          <w:lang w:eastAsia="en-AU"/>
        </w:rPr>
      </w:pPr>
      <w:bookmarkStart w:id="16" w:name="s_2"/>
      <w:r w:rsidRPr="00C63871">
        <w:rPr>
          <w:rFonts w:ascii="Calibri" w:eastAsia="Times New Roman" w:hAnsi="Calibri" w:cs="Calibri"/>
          <w:b/>
          <w:u w:val="single"/>
          <w:lang w:eastAsia="en-AU"/>
        </w:rPr>
        <w:t>s 2. Interpretation</w:t>
      </w:r>
      <w:r w:rsidRPr="00C63871">
        <w:rPr>
          <w:rFonts w:ascii="Calibri" w:eastAsia="Times New Roman" w:hAnsi="Calibri" w:cs="Calibri"/>
          <w:lang w:eastAsia="en-AU"/>
        </w:rPr>
        <w:t xml:space="preserve"> </w:t>
      </w:r>
      <w:bookmarkEnd w:id="16"/>
      <w:r w:rsidRPr="00C63871">
        <w:rPr>
          <w:rFonts w:ascii="Calibri" w:eastAsia="Times New Roman" w:hAnsi="Calibri" w:cs="Calibri"/>
          <w:lang w:eastAsia="en-AU"/>
        </w:rPr>
        <w:t xml:space="preserve">-  </w:t>
      </w:r>
    </w:p>
    <w:p w14:paraId="4FDDA7E9" w14:textId="77777777" w:rsidR="00C63871" w:rsidRPr="00C63871" w:rsidRDefault="00C63871" w:rsidP="00C63871">
      <w:pPr>
        <w:spacing w:after="0" w:line="240" w:lineRule="auto"/>
        <w:jc w:val="both"/>
        <w:rPr>
          <w:rFonts w:ascii="Calibri" w:eastAsia="Times New Roman" w:hAnsi="Calibri" w:cs="Calibri"/>
          <w:lang w:eastAsia="en-AU"/>
        </w:rPr>
      </w:pPr>
      <w:r w:rsidRPr="00C63871">
        <w:rPr>
          <w:rFonts w:ascii="Calibri" w:eastAsia="Times New Roman" w:hAnsi="Calibri" w:cs="Calibri"/>
          <w:lang w:eastAsia="en-AU"/>
        </w:rPr>
        <w:t>(1) In this Act, unless the context otherwise requires:</w:t>
      </w:r>
    </w:p>
    <w:p w14:paraId="057F690B" w14:textId="77777777" w:rsidR="00C63871" w:rsidRPr="00C63871" w:rsidRDefault="00C63871" w:rsidP="00C63871">
      <w:pPr>
        <w:spacing w:after="0" w:line="240" w:lineRule="auto"/>
        <w:jc w:val="both"/>
        <w:rPr>
          <w:rFonts w:ascii="Calibri" w:eastAsia="Times New Roman" w:hAnsi="Calibri" w:cs="Calibri"/>
          <w:lang w:eastAsia="en-AU"/>
        </w:rPr>
      </w:pPr>
      <w:r w:rsidRPr="00C63871">
        <w:rPr>
          <w:rFonts w:ascii="Calibri" w:eastAsia="Times New Roman" w:hAnsi="Calibri" w:cs="Calibri"/>
          <w:lang w:eastAsia="en-AU"/>
        </w:rPr>
        <w:t xml:space="preserve">“expert” means a person who has specialised knowledge or skill  based on training, study, or experience; </w:t>
      </w:r>
    </w:p>
    <w:p w14:paraId="03ED84D8" w14:textId="77777777" w:rsidR="00C63871" w:rsidRPr="00C63871" w:rsidRDefault="00C63871" w:rsidP="00C63871">
      <w:pPr>
        <w:spacing w:after="0" w:line="240" w:lineRule="auto"/>
        <w:jc w:val="both"/>
        <w:rPr>
          <w:rFonts w:ascii="Calibri" w:eastAsia="Times New Roman" w:hAnsi="Calibri" w:cs="Calibri"/>
          <w:lang w:eastAsia="en-AU"/>
        </w:rPr>
      </w:pPr>
      <w:r w:rsidRPr="00C63871">
        <w:rPr>
          <w:rFonts w:ascii="Calibri" w:eastAsia="Times New Roman" w:hAnsi="Calibri" w:cs="Calibri"/>
          <w:lang w:eastAsia="en-AU"/>
        </w:rPr>
        <w:t xml:space="preserve">“expert evidence” means the evidence of an expert based on the </w:t>
      </w:r>
    </w:p>
    <w:p w14:paraId="4A0E0EA3" w14:textId="77777777" w:rsidR="00C63871" w:rsidRPr="00C63871" w:rsidRDefault="00C63871" w:rsidP="00C63871">
      <w:pPr>
        <w:spacing w:after="0" w:line="240" w:lineRule="auto"/>
        <w:jc w:val="both"/>
        <w:rPr>
          <w:rFonts w:ascii="Calibri" w:eastAsia="Times New Roman" w:hAnsi="Calibri" w:cs="Calibri"/>
          <w:lang w:eastAsia="en-AU"/>
        </w:rPr>
      </w:pPr>
      <w:r w:rsidRPr="00C63871">
        <w:rPr>
          <w:rFonts w:ascii="Calibri" w:eastAsia="Times New Roman" w:hAnsi="Calibri" w:cs="Calibri"/>
          <w:lang w:eastAsia="en-AU"/>
        </w:rPr>
        <w:t>specialised knowledge or skill of that expert and includes evidence given in the form of an opinion;</w:t>
      </w:r>
    </w:p>
    <w:p w14:paraId="18545796" w14:textId="77777777" w:rsidR="00C63871" w:rsidRPr="00C63871" w:rsidRDefault="00C63871" w:rsidP="00C63871">
      <w:pPr>
        <w:spacing w:after="0" w:line="240" w:lineRule="auto"/>
        <w:jc w:val="both"/>
        <w:rPr>
          <w:rFonts w:ascii="Calibri" w:eastAsia="Times New Roman" w:hAnsi="Calibri" w:cs="Calibri"/>
          <w:lang w:eastAsia="en-AU"/>
        </w:rPr>
      </w:pPr>
    </w:p>
    <w:p w14:paraId="76B0DD32" w14:textId="77777777" w:rsidR="00C63871" w:rsidRPr="00C63871" w:rsidRDefault="00C63871" w:rsidP="00C63871">
      <w:pPr>
        <w:spacing w:after="0" w:line="240" w:lineRule="auto"/>
        <w:jc w:val="both"/>
        <w:rPr>
          <w:rFonts w:ascii="Calibri" w:eastAsia="Times New Roman" w:hAnsi="Calibri" w:cs="Calibri"/>
          <w:lang w:eastAsia="en-AU"/>
        </w:rPr>
      </w:pPr>
      <w:bookmarkStart w:id="17" w:name="s_16"/>
      <w:r w:rsidRPr="00C63871">
        <w:rPr>
          <w:rFonts w:ascii="Calibri" w:eastAsia="Times New Roman" w:hAnsi="Calibri" w:cs="Calibri"/>
          <w:b/>
          <w:u w:val="single"/>
          <w:lang w:eastAsia="en-AU"/>
        </w:rPr>
        <w:t>s 16. Admissibility of expert opinion evidence</w:t>
      </w:r>
      <w:r w:rsidRPr="00C63871">
        <w:rPr>
          <w:rFonts w:ascii="Calibri" w:eastAsia="Times New Roman" w:hAnsi="Calibri" w:cs="Calibri"/>
          <w:lang w:eastAsia="en-AU"/>
        </w:rPr>
        <w:t xml:space="preserve"> </w:t>
      </w:r>
      <w:bookmarkEnd w:id="17"/>
      <w:r w:rsidRPr="00C63871">
        <w:rPr>
          <w:rFonts w:ascii="Calibri" w:eastAsia="Times New Roman" w:hAnsi="Calibri" w:cs="Calibri"/>
          <w:lang w:eastAsia="en-AU"/>
        </w:rPr>
        <w:t xml:space="preserve">– </w:t>
      </w:r>
    </w:p>
    <w:p w14:paraId="7A22C0D8" w14:textId="77777777" w:rsidR="00C63871" w:rsidRPr="00C63871" w:rsidRDefault="00C63871" w:rsidP="00C63871">
      <w:pPr>
        <w:spacing w:after="0" w:line="240" w:lineRule="auto"/>
        <w:jc w:val="both"/>
        <w:rPr>
          <w:rFonts w:ascii="Calibri" w:eastAsia="Times New Roman" w:hAnsi="Calibri" w:cs="Calibri"/>
          <w:lang w:eastAsia="en-AU"/>
        </w:rPr>
      </w:pPr>
      <w:r w:rsidRPr="00C63871">
        <w:rPr>
          <w:rFonts w:ascii="Calibri" w:eastAsia="Times New Roman" w:hAnsi="Calibri" w:cs="Calibri"/>
          <w:lang w:eastAsia="en-AU"/>
        </w:rPr>
        <w:t xml:space="preserve">(1) An opinion by an expert that is part of expert evidence offered in a proceeding is admissible if the fact-finder is likely to obtain substantial help from the opinion in understanding other evidence in the proceeding or in ascertaining any fact that is of consequence to the determination of the proceeding. </w:t>
      </w:r>
    </w:p>
    <w:p w14:paraId="224D1E13" w14:textId="77777777" w:rsidR="00C63871" w:rsidRPr="00C63871" w:rsidRDefault="00C63871" w:rsidP="00C63871">
      <w:pPr>
        <w:spacing w:after="0" w:line="240" w:lineRule="auto"/>
        <w:jc w:val="both"/>
        <w:rPr>
          <w:rFonts w:ascii="Calibri" w:eastAsia="Times New Roman" w:hAnsi="Calibri" w:cs="Calibri"/>
          <w:lang w:eastAsia="en-AU"/>
        </w:rPr>
      </w:pPr>
      <w:r w:rsidRPr="00C63871">
        <w:rPr>
          <w:rFonts w:ascii="Calibri" w:eastAsia="Times New Roman" w:hAnsi="Calibri" w:cs="Calibri"/>
          <w:lang w:eastAsia="en-AU"/>
        </w:rPr>
        <w:t xml:space="preserve">(2) An opinion by an expert is not inadmissible only because it is about an ultimate issue to be determined in a proceeding; orincidentally refers to a matter of common knowledge. </w:t>
      </w:r>
    </w:p>
    <w:p w14:paraId="03877F45" w14:textId="77777777" w:rsidR="00C63871" w:rsidRPr="00C63871" w:rsidRDefault="00C63871" w:rsidP="00C63871">
      <w:pPr>
        <w:spacing w:after="0" w:line="240" w:lineRule="auto"/>
        <w:jc w:val="both"/>
        <w:rPr>
          <w:rFonts w:ascii="Calibri" w:eastAsia="Times New Roman" w:hAnsi="Calibri" w:cs="Calibri"/>
          <w:lang w:eastAsia="en-AU"/>
        </w:rPr>
      </w:pPr>
      <w:r w:rsidRPr="00C63871">
        <w:rPr>
          <w:rFonts w:ascii="Calibri" w:eastAsia="Times New Roman" w:hAnsi="Calibri" w:cs="Calibri"/>
          <w:lang w:eastAsia="en-AU"/>
        </w:rPr>
        <w:t xml:space="preserve">(3) Subject to subsection (4), if an opinion by an expert is based on the existence of a matter or state of affairs that is outside the general body of knowledge that makes up the expertise of the expert, the opinion may be relied on by the fact-finder only if that matter or state of affairs is or will be proved or judicially noticed in the proceeding. </w:t>
      </w:r>
    </w:p>
    <w:p w14:paraId="002A2EAC" w14:textId="77777777" w:rsidR="00C63871" w:rsidRPr="00C63871" w:rsidRDefault="00C63871" w:rsidP="00C63871">
      <w:pPr>
        <w:spacing w:after="0" w:line="240" w:lineRule="auto"/>
        <w:jc w:val="both"/>
        <w:rPr>
          <w:rFonts w:ascii="Calibri" w:eastAsia="Times New Roman" w:hAnsi="Calibri" w:cs="Calibri"/>
          <w:lang w:eastAsia="en-AU"/>
        </w:rPr>
      </w:pPr>
      <w:r w:rsidRPr="00C63871">
        <w:rPr>
          <w:rFonts w:ascii="Calibri" w:eastAsia="Times New Roman" w:hAnsi="Calibri" w:cs="Calibri"/>
          <w:lang w:eastAsia="en-AU"/>
        </w:rPr>
        <w:t>(4) If expert evidence about the sanity of a person is based in whole or in part on a statement that the person made to the expert about the person’s state of mind, then:</w:t>
      </w:r>
    </w:p>
    <w:p w14:paraId="6D4D1D3A" w14:textId="77777777" w:rsidR="00C63871" w:rsidRPr="00C63871" w:rsidRDefault="00C63871" w:rsidP="00C63871">
      <w:pPr>
        <w:spacing w:after="0" w:line="240" w:lineRule="auto"/>
        <w:ind w:left="907"/>
        <w:jc w:val="both"/>
        <w:rPr>
          <w:rFonts w:ascii="Calibri" w:eastAsia="Times New Roman" w:hAnsi="Calibri" w:cs="Calibri"/>
          <w:lang w:eastAsia="en-AU"/>
        </w:rPr>
      </w:pPr>
      <w:r w:rsidRPr="00C63871">
        <w:rPr>
          <w:rFonts w:ascii="Calibri" w:eastAsia="Times New Roman" w:hAnsi="Calibri" w:cs="Calibri"/>
          <w:lang w:eastAsia="en-AU"/>
        </w:rPr>
        <w:t xml:space="preserve">(a) the statement of the person is admissible to establish the facts on which the expert’s opinion is based; and </w:t>
      </w:r>
    </w:p>
    <w:p w14:paraId="4267225F" w14:textId="77777777" w:rsidR="00C63871" w:rsidRPr="00C63871" w:rsidRDefault="00C63871" w:rsidP="00C63871">
      <w:pPr>
        <w:spacing w:after="0" w:line="240" w:lineRule="auto"/>
        <w:ind w:left="907"/>
        <w:jc w:val="both"/>
        <w:rPr>
          <w:rFonts w:ascii="Calibri" w:eastAsia="Times New Roman" w:hAnsi="Calibri" w:cs="Calibri"/>
          <w:lang w:eastAsia="en-AU"/>
        </w:rPr>
      </w:pPr>
      <w:r w:rsidRPr="00C63871">
        <w:rPr>
          <w:rFonts w:ascii="Calibri" w:eastAsia="Times New Roman" w:hAnsi="Calibri" w:cs="Calibri"/>
          <w:lang w:eastAsia="en-AU"/>
        </w:rPr>
        <w:t>(b) neither the hearsay rule nor the previous consistent statement rule applies to evidence of the statement made by the person.</w:t>
      </w:r>
    </w:p>
    <w:p w14:paraId="099E78BF" w14:textId="77777777" w:rsidR="0045067A" w:rsidRPr="0045067A" w:rsidRDefault="0045067A" w:rsidP="0045067A">
      <w:pPr>
        <w:spacing w:after="0" w:line="240" w:lineRule="auto"/>
        <w:jc w:val="both"/>
        <w:rPr>
          <w:rFonts w:eastAsia="Times New Roman" w:cstheme="minorHAnsi"/>
          <w:color w:val="0563C1" w:themeColor="hyperlink"/>
          <w:u w:val="single"/>
          <w:lang w:eastAsia="en-AU"/>
        </w:rPr>
      </w:pPr>
    </w:p>
    <w:p w14:paraId="1F8AEFE3" w14:textId="77777777" w:rsidR="0045067A" w:rsidRPr="0045067A" w:rsidRDefault="0045067A" w:rsidP="0045067A">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45067A">
        <w:rPr>
          <w:rFonts w:eastAsiaTheme="minorEastAsia" w:cs="Times New Roman"/>
          <w:b/>
          <w:color w:val="002060"/>
          <w:kern w:val="32"/>
          <w:sz w:val="28"/>
          <w:szCs w:val="28"/>
          <w:lang w:val="en-US"/>
        </w:rPr>
        <w:t>Evidence Admissible Against Co-accused Defendants</w:t>
      </w:r>
    </w:p>
    <w:p w14:paraId="3021894B" w14:textId="77777777" w:rsidR="0045067A" w:rsidRPr="0045067A" w:rsidRDefault="0045067A" w:rsidP="0045067A">
      <w:pPr>
        <w:spacing w:after="0" w:line="240" w:lineRule="auto"/>
        <w:rPr>
          <w:rFonts w:eastAsia="Times New Roman" w:cstheme="minorHAnsi"/>
          <w:color w:val="000000" w:themeColor="text1"/>
          <w:lang w:eastAsia="en-AU"/>
        </w:rPr>
      </w:pPr>
      <w:r w:rsidRPr="0045067A">
        <w:rPr>
          <w:rFonts w:eastAsia="Times New Roman" w:cstheme="minorHAnsi"/>
          <w:color w:val="000000" w:themeColor="text1"/>
          <w:lang w:eastAsia="en-AU"/>
        </w:rPr>
        <w:t xml:space="preserve"> </w:t>
      </w:r>
    </w:p>
    <w:p w14:paraId="119CD412" w14:textId="77777777" w:rsidR="00C63871" w:rsidRPr="00C63871" w:rsidRDefault="00C63871" w:rsidP="00C63871">
      <w:pPr>
        <w:spacing w:after="0" w:line="240" w:lineRule="auto"/>
        <w:jc w:val="both"/>
        <w:rPr>
          <w:rFonts w:ascii="Calibri" w:eastAsia="Times New Roman" w:hAnsi="Calibri" w:cs="Calibri"/>
          <w:lang w:val="en-GB" w:eastAsia="en-AU"/>
        </w:rPr>
      </w:pPr>
      <w:bookmarkStart w:id="18" w:name="s_6"/>
      <w:r w:rsidRPr="00C63871">
        <w:rPr>
          <w:rFonts w:ascii="Calibri" w:eastAsia="Times New Roman" w:hAnsi="Calibri" w:cs="Calibri"/>
          <w:b/>
          <w:u w:val="single"/>
          <w:lang w:eastAsia="en-AU"/>
        </w:rPr>
        <w:t xml:space="preserve">s </w:t>
      </w:r>
      <w:r w:rsidRPr="00C63871">
        <w:rPr>
          <w:rFonts w:ascii="Calibri" w:eastAsia="Times New Roman" w:hAnsi="Calibri" w:cs="Calibri"/>
          <w:b/>
          <w:u w:val="single"/>
          <w:lang w:val="en-GB" w:eastAsia="en-AU"/>
        </w:rPr>
        <w:t>6. Co-conspirator’s rule, etc., not affected</w:t>
      </w:r>
      <w:r w:rsidRPr="00C63871">
        <w:rPr>
          <w:rFonts w:ascii="Calibri" w:eastAsia="Times New Roman" w:hAnsi="Calibri" w:cs="Calibri"/>
          <w:lang w:val="en-GB" w:eastAsia="en-AU"/>
        </w:rPr>
        <w:t xml:space="preserve">  </w:t>
      </w:r>
    </w:p>
    <w:bookmarkEnd w:id="18"/>
    <w:p w14:paraId="48807780" w14:textId="77777777" w:rsidR="00C63871" w:rsidRPr="00C63871" w:rsidRDefault="00C63871" w:rsidP="00C63871">
      <w:pPr>
        <w:spacing w:after="0" w:line="240" w:lineRule="auto"/>
        <w:jc w:val="both"/>
        <w:rPr>
          <w:rFonts w:ascii="Calibri" w:eastAsia="Times New Roman" w:hAnsi="Calibri" w:cs="Calibri"/>
          <w:lang w:val="en-GB" w:eastAsia="en-AU"/>
        </w:rPr>
      </w:pPr>
      <w:r w:rsidRPr="00C63871">
        <w:rPr>
          <w:rFonts w:ascii="Calibri" w:eastAsia="Times New Roman" w:hAnsi="Calibri" w:cs="Calibri"/>
          <w:lang w:val="en-GB" w:eastAsia="en-AU"/>
        </w:rPr>
        <w:t>Nothing in this Act affects the rules of the common law relating to:</w:t>
      </w:r>
    </w:p>
    <w:p w14:paraId="037555DA" w14:textId="77777777" w:rsidR="00C63871" w:rsidRPr="00C63871" w:rsidRDefault="00C63871" w:rsidP="00C63871">
      <w:pPr>
        <w:spacing w:after="0" w:line="240" w:lineRule="auto"/>
        <w:ind w:left="720"/>
        <w:jc w:val="both"/>
        <w:rPr>
          <w:rFonts w:ascii="Calibri" w:eastAsia="Times New Roman" w:hAnsi="Calibri" w:cs="Calibri"/>
          <w:lang w:val="en-GB" w:eastAsia="en-AU"/>
        </w:rPr>
      </w:pPr>
      <w:r w:rsidRPr="00C63871">
        <w:rPr>
          <w:rFonts w:ascii="Calibri" w:eastAsia="Times New Roman" w:hAnsi="Calibri" w:cs="Calibri"/>
          <w:lang w:val="en-GB" w:eastAsia="en-AU"/>
        </w:rPr>
        <w:t xml:space="preserve">(a) the admissibility of statements of co-conspirators or persons involved in joint criminal enterprises; or </w:t>
      </w:r>
    </w:p>
    <w:p w14:paraId="476B3255" w14:textId="77777777" w:rsidR="00C63871" w:rsidRPr="00C63871" w:rsidRDefault="00C63871" w:rsidP="00C63871">
      <w:pPr>
        <w:spacing w:after="0" w:line="240" w:lineRule="auto"/>
        <w:ind w:left="709"/>
        <w:jc w:val="both"/>
        <w:rPr>
          <w:rFonts w:ascii="Calibri" w:eastAsia="Times New Roman" w:hAnsi="Calibri" w:cs="Calibri"/>
          <w:lang w:val="en-GB" w:eastAsia="en-AU"/>
        </w:rPr>
      </w:pPr>
      <w:r w:rsidRPr="00C63871">
        <w:rPr>
          <w:rFonts w:ascii="Calibri" w:eastAsia="Times New Roman" w:hAnsi="Calibri" w:cs="Calibri"/>
          <w:lang w:val="en-GB" w:eastAsia="en-AU"/>
        </w:rPr>
        <w:t>(b) the admissibility of a defendant’s statement against a co-defendant in circumstances where the defendant’s statement is accepted by the co-defendant.</w:t>
      </w:r>
    </w:p>
    <w:p w14:paraId="7676D22C" w14:textId="77777777" w:rsidR="00C63871" w:rsidRDefault="00C63871" w:rsidP="0045067A">
      <w:pPr>
        <w:spacing w:after="0" w:line="240" w:lineRule="auto"/>
        <w:jc w:val="both"/>
        <w:rPr>
          <w:rFonts w:eastAsia="Times New Roman" w:cstheme="minorHAnsi"/>
          <w:color w:val="0563C1" w:themeColor="hyperlink"/>
          <w:u w:val="single"/>
          <w:lang w:eastAsia="en-AU"/>
        </w:rPr>
      </w:pPr>
    </w:p>
    <w:p w14:paraId="4769E662" w14:textId="77777777" w:rsidR="001F7B86" w:rsidRDefault="001F7B86" w:rsidP="0045067A">
      <w:pPr>
        <w:spacing w:after="0" w:line="240" w:lineRule="auto"/>
        <w:jc w:val="both"/>
        <w:rPr>
          <w:rFonts w:eastAsia="Times New Roman" w:cstheme="minorHAnsi"/>
          <w:color w:val="0563C1" w:themeColor="hyperlink"/>
          <w:u w:val="single"/>
          <w:lang w:eastAsia="en-AU"/>
        </w:rPr>
      </w:pPr>
    </w:p>
    <w:p w14:paraId="44B815F1" w14:textId="77777777" w:rsidR="001F7B86" w:rsidRPr="0045067A" w:rsidRDefault="001F7B86" w:rsidP="0045067A">
      <w:pPr>
        <w:spacing w:after="0" w:line="240" w:lineRule="auto"/>
        <w:jc w:val="both"/>
        <w:rPr>
          <w:rFonts w:eastAsia="Times New Roman" w:cstheme="minorHAnsi"/>
          <w:color w:val="0563C1" w:themeColor="hyperlink"/>
          <w:u w:val="single"/>
          <w:lang w:eastAsia="en-AU"/>
        </w:rPr>
      </w:pPr>
    </w:p>
    <w:p w14:paraId="652E9E4F" w14:textId="77777777" w:rsidR="001F7B86" w:rsidRPr="0045067A" w:rsidRDefault="001F7B86" w:rsidP="001F7B86">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Pr>
          <w:rFonts w:eastAsiaTheme="minorEastAsia" w:cs="Times New Roman"/>
          <w:b/>
          <w:color w:val="002060"/>
          <w:kern w:val="32"/>
          <w:sz w:val="28"/>
          <w:szCs w:val="28"/>
          <w:lang w:val="en-US"/>
        </w:rPr>
        <w:lastRenderedPageBreak/>
        <w:t>Electr</w:t>
      </w:r>
      <w:r w:rsidR="0045067A" w:rsidRPr="0045067A">
        <w:rPr>
          <w:rFonts w:eastAsiaTheme="minorEastAsia" w:cs="Times New Roman"/>
          <w:b/>
          <w:color w:val="002060"/>
          <w:kern w:val="32"/>
          <w:sz w:val="28"/>
          <w:szCs w:val="28"/>
          <w:lang w:val="en-US"/>
        </w:rPr>
        <w:t>onic Evidence</w:t>
      </w:r>
    </w:p>
    <w:p w14:paraId="487C1BC8" w14:textId="77777777" w:rsidR="0045067A" w:rsidRDefault="0045067A" w:rsidP="0045067A">
      <w:pPr>
        <w:spacing w:after="0" w:line="240" w:lineRule="auto"/>
        <w:jc w:val="both"/>
        <w:rPr>
          <w:rFonts w:eastAsia="Times New Roman" w:cstheme="minorHAnsi"/>
          <w:color w:val="0563C1" w:themeColor="hyperlink"/>
          <w:u w:val="single"/>
          <w:lang w:eastAsia="en-AU"/>
        </w:rPr>
      </w:pPr>
    </w:p>
    <w:p w14:paraId="5C42B4C0" w14:textId="77777777" w:rsidR="001F7B86" w:rsidRPr="001F7B86" w:rsidRDefault="001F7B86" w:rsidP="001F7B86">
      <w:pPr>
        <w:spacing w:after="0" w:line="240" w:lineRule="auto"/>
        <w:ind w:left="720" w:hanging="720"/>
        <w:jc w:val="both"/>
        <w:rPr>
          <w:rFonts w:ascii="Calibri" w:eastAsia="Times New Roman" w:hAnsi="Calibri" w:cs="Calibri"/>
          <w:lang w:eastAsia="en-AU"/>
        </w:rPr>
      </w:pPr>
      <w:bookmarkStart w:id="19" w:name="s_2_inter"/>
      <w:r w:rsidRPr="001F7B86">
        <w:rPr>
          <w:rFonts w:ascii="Calibri" w:eastAsia="Times New Roman" w:hAnsi="Calibri" w:cs="Calibri"/>
          <w:b/>
          <w:u w:val="single"/>
          <w:lang w:eastAsia="en-AU"/>
        </w:rPr>
        <w:t xml:space="preserve">s2.Interpretation </w:t>
      </w:r>
    </w:p>
    <w:bookmarkEnd w:id="19"/>
    <w:p w14:paraId="061D1593" w14:textId="77777777" w:rsidR="001F7B86" w:rsidRPr="001F7B86" w:rsidRDefault="001F7B86" w:rsidP="001F7B86">
      <w:pPr>
        <w:spacing w:after="0" w:line="240" w:lineRule="auto"/>
        <w:ind w:left="720" w:hanging="720"/>
        <w:jc w:val="both"/>
        <w:rPr>
          <w:rFonts w:ascii="Calibri" w:eastAsia="Times New Roman" w:hAnsi="Calibri" w:cs="Calibri"/>
          <w:lang w:eastAsia="en-AU"/>
        </w:rPr>
      </w:pPr>
      <w:r w:rsidRPr="001F7B86">
        <w:rPr>
          <w:rFonts w:ascii="Calibri" w:eastAsia="Times New Roman" w:hAnsi="Calibri" w:cs="Calibri"/>
          <w:lang w:eastAsia="en-AU"/>
        </w:rPr>
        <w:t>(1) In this Act, unless the context otherwise requires:</w:t>
      </w:r>
    </w:p>
    <w:p w14:paraId="24D16A7E" w14:textId="77777777" w:rsidR="001F7B86" w:rsidRPr="001F7B86" w:rsidRDefault="001F7B86" w:rsidP="001F7B86">
      <w:pPr>
        <w:spacing w:after="0" w:line="240" w:lineRule="auto"/>
        <w:ind w:left="720" w:hanging="720"/>
        <w:jc w:val="both"/>
        <w:rPr>
          <w:rFonts w:ascii="Calibri" w:eastAsia="Times New Roman" w:hAnsi="Calibri" w:cs="Calibri"/>
          <w:lang w:eastAsia="en-AU"/>
        </w:rPr>
      </w:pPr>
      <w:r w:rsidRPr="001F7B86">
        <w:rPr>
          <w:rFonts w:ascii="Calibri" w:eastAsia="Times New Roman" w:hAnsi="Calibri" w:cs="Calibri"/>
          <w:lang w:eastAsia="en-AU"/>
        </w:rPr>
        <w:t>“document” means:</w:t>
      </w:r>
    </w:p>
    <w:p w14:paraId="10EF1F32" w14:textId="77777777" w:rsidR="001F7B86" w:rsidRPr="001F7B86" w:rsidRDefault="001F7B86" w:rsidP="001F7B86">
      <w:pPr>
        <w:spacing w:after="0" w:line="240" w:lineRule="auto"/>
        <w:jc w:val="both"/>
        <w:rPr>
          <w:rFonts w:ascii="Calibri" w:eastAsia="Times New Roman" w:hAnsi="Calibri" w:cs="Calibri"/>
          <w:lang w:eastAsia="en-AU"/>
        </w:rPr>
      </w:pPr>
      <w:r w:rsidRPr="001F7B86">
        <w:rPr>
          <w:rFonts w:ascii="Calibri" w:eastAsia="Times New Roman" w:hAnsi="Calibri" w:cs="Calibri"/>
          <w:lang w:eastAsia="en-AU"/>
        </w:rPr>
        <w:t xml:space="preserve">(a) any material, whether or not it is signed or otherwise authenticated, that bears symbols (including words and figures), images, or sounds or from which symbols, images, or sounds can be derived, and includes -  </w:t>
      </w:r>
    </w:p>
    <w:p w14:paraId="408C7637" w14:textId="77777777" w:rsidR="001F7B86" w:rsidRPr="001F7B86" w:rsidRDefault="001F7B86" w:rsidP="001F7B86">
      <w:pPr>
        <w:numPr>
          <w:ilvl w:val="2"/>
          <w:numId w:val="17"/>
        </w:numPr>
        <w:spacing w:after="0" w:line="240" w:lineRule="auto"/>
        <w:contextualSpacing/>
        <w:jc w:val="both"/>
        <w:rPr>
          <w:rFonts w:ascii="Calibri" w:eastAsia="Times New Roman" w:hAnsi="Calibri" w:cs="Calibri"/>
          <w:lang w:eastAsia="en-AU"/>
        </w:rPr>
      </w:pPr>
      <w:r w:rsidRPr="001F7B86">
        <w:rPr>
          <w:rFonts w:ascii="Calibri" w:eastAsia="Times New Roman" w:hAnsi="Calibri" w:cs="Calibri"/>
          <w:lang w:eastAsia="en-AU"/>
        </w:rPr>
        <w:t>a label, marking, or other writing which identifies or describes a thing of which it forms part, or to which it is attached;</w:t>
      </w:r>
    </w:p>
    <w:p w14:paraId="679FE688" w14:textId="77777777" w:rsidR="001F7B86" w:rsidRPr="001F7B86" w:rsidRDefault="001F7B86" w:rsidP="001F7B86">
      <w:pPr>
        <w:numPr>
          <w:ilvl w:val="2"/>
          <w:numId w:val="17"/>
        </w:numPr>
        <w:spacing w:after="0" w:line="240" w:lineRule="auto"/>
        <w:contextualSpacing/>
        <w:jc w:val="both"/>
        <w:rPr>
          <w:rFonts w:ascii="Calibri" w:eastAsia="Times New Roman" w:hAnsi="Calibri" w:cs="Calibri"/>
          <w:lang w:eastAsia="en-AU"/>
        </w:rPr>
      </w:pPr>
      <w:r w:rsidRPr="001F7B86">
        <w:rPr>
          <w:rFonts w:ascii="Calibri" w:eastAsia="Times New Roman" w:hAnsi="Calibri" w:cs="Calibri"/>
          <w:lang w:eastAsia="en-AU"/>
        </w:rPr>
        <w:t>a book, map, plan, graph, or drawing; a photograph, film, or negative; and</w:t>
      </w:r>
    </w:p>
    <w:p w14:paraId="7C5BE557" w14:textId="77777777" w:rsidR="001F7B86" w:rsidRPr="001F7B86" w:rsidRDefault="001F7B86" w:rsidP="001F7B86">
      <w:pPr>
        <w:spacing w:after="0" w:line="240" w:lineRule="auto"/>
        <w:jc w:val="both"/>
        <w:rPr>
          <w:rFonts w:ascii="Calibri" w:eastAsia="Times New Roman" w:hAnsi="Calibri" w:cs="Calibri"/>
          <w:lang w:eastAsia="en-AU"/>
        </w:rPr>
      </w:pPr>
      <w:r w:rsidRPr="001F7B86">
        <w:rPr>
          <w:rFonts w:ascii="Calibri" w:eastAsia="Times New Roman" w:hAnsi="Calibri" w:cs="Calibri"/>
          <w:lang w:eastAsia="en-AU"/>
        </w:rPr>
        <w:t>(b) information electronically recorded or stored, and information derived from that information.</w:t>
      </w:r>
    </w:p>
    <w:p w14:paraId="6C7A370F" w14:textId="77777777" w:rsidR="001F7B86" w:rsidRPr="0045067A" w:rsidRDefault="001F7B86" w:rsidP="0045067A">
      <w:pPr>
        <w:spacing w:after="0" w:line="240" w:lineRule="auto"/>
        <w:jc w:val="both"/>
        <w:rPr>
          <w:rFonts w:eastAsia="Times New Roman" w:cstheme="minorHAnsi"/>
          <w:color w:val="0563C1" w:themeColor="hyperlink"/>
          <w:u w:val="single"/>
          <w:lang w:eastAsia="en-AU"/>
        </w:rPr>
      </w:pPr>
    </w:p>
    <w:p w14:paraId="279F2F6A" w14:textId="77777777" w:rsidR="0045067A" w:rsidRPr="0045067A" w:rsidRDefault="0045067A" w:rsidP="0045067A">
      <w:pPr>
        <w:spacing w:after="0" w:line="240" w:lineRule="auto"/>
        <w:jc w:val="both"/>
        <w:rPr>
          <w:rFonts w:eastAsia="Times New Roman" w:cstheme="minorHAnsi"/>
          <w:color w:val="0563C1" w:themeColor="hyperlink"/>
          <w:u w:val="single"/>
          <w:lang w:eastAsia="en-AU"/>
        </w:rPr>
      </w:pPr>
    </w:p>
    <w:p w14:paraId="20EABDD1" w14:textId="77777777" w:rsidR="0045067A" w:rsidRPr="0045067A" w:rsidRDefault="0045067A" w:rsidP="0045067A">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45067A">
        <w:rPr>
          <w:rFonts w:eastAsiaTheme="minorEastAsia" w:cs="Times New Roman"/>
          <w:b/>
          <w:color w:val="002060"/>
          <w:kern w:val="32"/>
          <w:sz w:val="28"/>
          <w:szCs w:val="28"/>
          <w:lang w:val="en-US"/>
        </w:rPr>
        <w:t>Relevancy of Evidence</w:t>
      </w:r>
    </w:p>
    <w:p w14:paraId="2D504457" w14:textId="6CBB3F0B" w:rsidR="0045067A" w:rsidRPr="0045067A" w:rsidRDefault="0045067A" w:rsidP="0045067A">
      <w:pPr>
        <w:spacing w:after="0" w:line="240" w:lineRule="auto"/>
        <w:jc w:val="both"/>
        <w:rPr>
          <w:rFonts w:ascii="Calibri" w:eastAsia="Times New Roman" w:hAnsi="Calibri" w:cs="Calibri"/>
          <w:lang w:val="en-GB" w:eastAsia="en-AU"/>
        </w:rPr>
      </w:pPr>
    </w:p>
    <w:p w14:paraId="7B5A80E3" w14:textId="77777777" w:rsidR="00727D5C" w:rsidRPr="00727D5C" w:rsidRDefault="00727D5C" w:rsidP="00727D5C">
      <w:pPr>
        <w:spacing w:after="0" w:line="240" w:lineRule="auto"/>
        <w:jc w:val="both"/>
        <w:rPr>
          <w:rFonts w:ascii="Calibri" w:eastAsia="Times New Roman" w:hAnsi="Calibri" w:cs="Calibri"/>
          <w:bCs/>
          <w:lang w:eastAsia="en-AU"/>
        </w:rPr>
      </w:pPr>
      <w:bookmarkStart w:id="20" w:name="s_70"/>
      <w:r w:rsidRPr="00727D5C">
        <w:rPr>
          <w:rFonts w:ascii="Calibri" w:eastAsia="Times New Roman" w:hAnsi="Calibri" w:cs="Calibri"/>
          <w:b/>
          <w:u w:val="single"/>
          <w:lang w:eastAsia="en-AU"/>
        </w:rPr>
        <w:t xml:space="preserve">s 70 </w:t>
      </w:r>
      <w:r w:rsidRPr="00727D5C">
        <w:rPr>
          <w:rFonts w:ascii="Calibri" w:eastAsia="Times New Roman" w:hAnsi="Calibri" w:cs="Calibri"/>
          <w:b/>
          <w:bCs/>
          <w:lang w:eastAsia="en-AU"/>
        </w:rPr>
        <w:t xml:space="preserve"> </w:t>
      </w:r>
      <w:r w:rsidRPr="00727D5C">
        <w:rPr>
          <w:rFonts w:ascii="Calibri" w:eastAsia="Times New Roman" w:hAnsi="Calibri" w:cs="Calibri"/>
          <w:b/>
          <w:bCs/>
          <w:u w:val="single"/>
          <w:lang w:eastAsia="en-AU"/>
        </w:rPr>
        <w:t>Witness’s address may not be subject to question</w:t>
      </w:r>
      <w:r w:rsidRPr="00727D5C">
        <w:rPr>
          <w:rFonts w:ascii="Calibri" w:eastAsia="Times New Roman" w:hAnsi="Calibri" w:cs="Calibri"/>
          <w:bCs/>
          <w:lang w:eastAsia="en-AU"/>
        </w:rPr>
        <w:t xml:space="preserve"> </w:t>
      </w:r>
      <w:bookmarkEnd w:id="20"/>
      <w:r w:rsidRPr="00727D5C">
        <w:rPr>
          <w:rFonts w:ascii="Calibri" w:eastAsia="Times New Roman" w:hAnsi="Calibri" w:cs="Calibri"/>
          <w:bCs/>
          <w:lang w:eastAsia="en-AU"/>
        </w:rPr>
        <w:t xml:space="preserve">- </w:t>
      </w:r>
    </w:p>
    <w:p w14:paraId="5A0F8903" w14:textId="77777777" w:rsidR="00727D5C" w:rsidRPr="00727D5C" w:rsidRDefault="00727D5C" w:rsidP="00727D5C">
      <w:pPr>
        <w:spacing w:after="0" w:line="240" w:lineRule="auto"/>
        <w:jc w:val="both"/>
        <w:rPr>
          <w:rFonts w:ascii="Calibri" w:eastAsia="Times New Roman" w:hAnsi="Calibri" w:cs="Calibri"/>
          <w:lang w:eastAsia="en-AU"/>
        </w:rPr>
      </w:pPr>
      <w:r w:rsidRPr="00727D5C">
        <w:rPr>
          <w:rFonts w:ascii="Calibri" w:eastAsia="Times New Roman" w:hAnsi="Calibri" w:cs="Calibri"/>
          <w:lang w:eastAsia="en-AU"/>
        </w:rPr>
        <w:t>(1) In any proceeding, the precise particulars of a witness’s address (such as, details of the place or village) may not, without the permission of the Judge, be:</w:t>
      </w:r>
    </w:p>
    <w:p w14:paraId="21081E5F" w14:textId="77777777" w:rsidR="00727D5C" w:rsidRPr="00727D5C" w:rsidRDefault="00727D5C" w:rsidP="00727D5C">
      <w:pPr>
        <w:spacing w:after="0" w:line="240" w:lineRule="auto"/>
        <w:ind w:left="709"/>
        <w:jc w:val="both"/>
        <w:rPr>
          <w:rFonts w:ascii="Calibri" w:eastAsia="Times New Roman" w:hAnsi="Calibri" w:cs="Calibri"/>
          <w:lang w:eastAsia="en-AU"/>
        </w:rPr>
      </w:pPr>
      <w:r w:rsidRPr="00727D5C">
        <w:rPr>
          <w:rFonts w:ascii="Calibri" w:eastAsia="Times New Roman" w:hAnsi="Calibri" w:cs="Calibri"/>
          <w:lang w:eastAsia="en-AU"/>
        </w:rPr>
        <w:t>(a) the subject of any question to a witness or included in any evidence given; or</w:t>
      </w:r>
    </w:p>
    <w:p w14:paraId="4F81D3AA" w14:textId="77777777" w:rsidR="00727D5C" w:rsidRPr="00727D5C" w:rsidRDefault="00727D5C" w:rsidP="00727D5C">
      <w:pPr>
        <w:spacing w:after="0" w:line="240" w:lineRule="auto"/>
        <w:ind w:left="709"/>
        <w:jc w:val="both"/>
        <w:rPr>
          <w:rFonts w:ascii="Calibri" w:eastAsia="Times New Roman" w:hAnsi="Calibri" w:cs="Calibri"/>
          <w:lang w:eastAsia="en-AU"/>
        </w:rPr>
      </w:pPr>
      <w:r w:rsidRPr="00727D5C">
        <w:rPr>
          <w:rFonts w:ascii="Calibri" w:eastAsia="Times New Roman" w:hAnsi="Calibri" w:cs="Calibri"/>
          <w:lang w:eastAsia="en-AU"/>
        </w:rPr>
        <w:t>(b) included in any statement or remark made by a witness, lawyer, officer of the court, or any other person.</w:t>
      </w:r>
    </w:p>
    <w:p w14:paraId="42A20097" w14:textId="77777777" w:rsidR="00727D5C" w:rsidRPr="00727D5C" w:rsidRDefault="00727D5C" w:rsidP="00727D5C">
      <w:pPr>
        <w:spacing w:after="0" w:line="240" w:lineRule="auto"/>
        <w:jc w:val="both"/>
        <w:rPr>
          <w:rFonts w:ascii="Calibri" w:eastAsia="Times New Roman" w:hAnsi="Calibri" w:cs="Calibri"/>
          <w:lang w:eastAsia="en-AU"/>
        </w:rPr>
      </w:pPr>
      <w:r w:rsidRPr="00727D5C">
        <w:rPr>
          <w:rFonts w:ascii="Calibri" w:eastAsia="Times New Roman" w:hAnsi="Calibri" w:cs="Calibri"/>
          <w:lang w:eastAsia="en-AU"/>
        </w:rPr>
        <w:t>(2) The Judge must not grant permission under subsection (1) unless satisfied that the question to be put, the evidence to be given, or the statement or remark to be made, is of sufficient direct relevance to the facts in issue that to exclude it would be contrary to the interests of justice.</w:t>
      </w:r>
      <w:r w:rsidRPr="00727D5C">
        <w:rPr>
          <w:rFonts w:ascii="Calibri" w:eastAsia="Times New Roman" w:hAnsi="Calibri" w:cs="Calibri"/>
          <w:lang w:eastAsia="en-AU"/>
        </w:rPr>
        <w:br/>
        <w:t>(3) An application for permission under subsection (1) may be made before or after the commencement of any hearing, and is, where practicable, to be made and dealt with in chambers.</w:t>
      </w:r>
      <w:r w:rsidRPr="00727D5C">
        <w:rPr>
          <w:rFonts w:ascii="Calibri" w:eastAsia="Times New Roman" w:hAnsi="Calibri" w:cs="Calibri"/>
          <w:lang w:eastAsia="en-AU"/>
        </w:rPr>
        <w:br/>
        <w:t>(4) In any proceeding, the Judge may order that the identity of any witness may be excluded in any written statement, where disclosure of identity may risk the safety of the witness or interference with the witness.</w:t>
      </w:r>
    </w:p>
    <w:p w14:paraId="5BFD86E8" w14:textId="77777777" w:rsidR="00727D5C" w:rsidRPr="00727D5C" w:rsidRDefault="00727D5C" w:rsidP="00727D5C">
      <w:pPr>
        <w:spacing w:after="0" w:line="240" w:lineRule="auto"/>
        <w:jc w:val="both"/>
        <w:rPr>
          <w:rFonts w:ascii="Calibri" w:eastAsia="Times New Roman" w:hAnsi="Calibri" w:cs="Calibri"/>
          <w:lang w:eastAsia="en-AU"/>
        </w:rPr>
      </w:pPr>
      <w:r w:rsidRPr="00727D5C">
        <w:rPr>
          <w:rFonts w:ascii="Calibri" w:eastAsia="Times New Roman" w:hAnsi="Calibri" w:cs="Calibri"/>
          <w:lang w:eastAsia="en-AU"/>
        </w:rPr>
        <w:t>(5) Nothing in subsection (1) applies in a criminal proceeding if it is necessary to disclose the particulars in the charge in order to ensure that the defendant is fully and fairly informed of the charge.</w:t>
      </w:r>
    </w:p>
    <w:p w14:paraId="282D5B42" w14:textId="77777777" w:rsidR="00727D5C" w:rsidRPr="00727D5C" w:rsidRDefault="00727D5C" w:rsidP="00727D5C">
      <w:pPr>
        <w:spacing w:after="0" w:line="240" w:lineRule="auto"/>
        <w:jc w:val="both"/>
        <w:rPr>
          <w:rFonts w:ascii="Calibri" w:eastAsia="Times New Roman" w:hAnsi="Calibri" w:cs="Calibri"/>
          <w:bCs/>
          <w:lang w:eastAsia="en-AU"/>
        </w:rPr>
      </w:pPr>
    </w:p>
    <w:p w14:paraId="6F12B8CF" w14:textId="77777777" w:rsidR="00727D5C" w:rsidRPr="00727D5C" w:rsidRDefault="00727D5C" w:rsidP="00727D5C">
      <w:pPr>
        <w:spacing w:after="0" w:line="240" w:lineRule="auto"/>
        <w:jc w:val="both"/>
        <w:rPr>
          <w:rFonts w:ascii="Calibri" w:eastAsia="Times New Roman" w:hAnsi="Calibri" w:cs="Calibri"/>
          <w:lang w:eastAsia="en-AU"/>
        </w:rPr>
      </w:pPr>
      <w:bookmarkStart w:id="21" w:name="s_83"/>
      <w:r w:rsidRPr="00727D5C">
        <w:rPr>
          <w:rFonts w:ascii="Calibri" w:eastAsia="Times New Roman" w:hAnsi="Calibri" w:cs="Calibri"/>
          <w:b/>
          <w:u w:val="single"/>
          <w:lang w:eastAsia="en-AU"/>
        </w:rPr>
        <w:t>s 83. Evidence following closure of party’s case</w:t>
      </w:r>
      <w:r w:rsidRPr="00727D5C">
        <w:rPr>
          <w:rFonts w:ascii="Calibri" w:eastAsia="Times New Roman" w:hAnsi="Calibri" w:cs="Calibri"/>
          <w:lang w:eastAsia="en-AU"/>
        </w:rPr>
        <w:t xml:space="preserve"> </w:t>
      </w:r>
      <w:bookmarkEnd w:id="21"/>
      <w:r w:rsidRPr="00727D5C">
        <w:rPr>
          <w:rFonts w:ascii="Calibri" w:eastAsia="Times New Roman" w:hAnsi="Calibri" w:cs="Calibri"/>
          <w:lang w:eastAsia="en-AU"/>
        </w:rPr>
        <w:t xml:space="preserve">– </w:t>
      </w:r>
    </w:p>
    <w:p w14:paraId="3C48C221" w14:textId="77777777" w:rsidR="00727D5C" w:rsidRPr="00727D5C" w:rsidRDefault="00727D5C" w:rsidP="00727D5C">
      <w:pPr>
        <w:spacing w:after="0" w:line="240" w:lineRule="auto"/>
        <w:jc w:val="both"/>
        <w:rPr>
          <w:rFonts w:ascii="Calibri" w:eastAsia="Times New Roman" w:hAnsi="Calibri" w:cs="Calibri"/>
          <w:lang w:eastAsia="en-AU"/>
        </w:rPr>
      </w:pPr>
      <w:r w:rsidRPr="00727D5C">
        <w:rPr>
          <w:rFonts w:ascii="Calibri" w:eastAsia="Times New Roman" w:hAnsi="Calibri" w:cs="Calibri"/>
          <w:lang w:eastAsia="en-AU"/>
        </w:rPr>
        <w:t>(1) In any proceeding, a party may not offer further evidence after closing that party’s case, except with the permission of the Judge.</w:t>
      </w:r>
    </w:p>
    <w:p w14:paraId="4E4C393D" w14:textId="77777777" w:rsidR="00727D5C" w:rsidRPr="00727D5C" w:rsidRDefault="00727D5C" w:rsidP="00727D5C">
      <w:pPr>
        <w:spacing w:after="0" w:line="240" w:lineRule="auto"/>
        <w:jc w:val="both"/>
        <w:rPr>
          <w:rFonts w:ascii="Calibri" w:eastAsia="Times New Roman" w:hAnsi="Calibri" w:cs="Calibri"/>
          <w:lang w:eastAsia="en-AU"/>
        </w:rPr>
      </w:pPr>
    </w:p>
    <w:p w14:paraId="5D3CBD6A" w14:textId="77777777" w:rsidR="00727D5C" w:rsidRPr="00727D5C" w:rsidRDefault="00727D5C" w:rsidP="00727D5C">
      <w:pPr>
        <w:spacing w:after="0" w:line="240" w:lineRule="auto"/>
        <w:jc w:val="both"/>
        <w:rPr>
          <w:rFonts w:ascii="Calibri" w:eastAsia="Times New Roman" w:hAnsi="Calibri" w:cs="Calibri"/>
          <w:lang w:eastAsia="en-AU"/>
        </w:rPr>
      </w:pPr>
      <w:r w:rsidRPr="00727D5C">
        <w:rPr>
          <w:rFonts w:ascii="Calibri" w:eastAsia="Times New Roman" w:hAnsi="Calibri" w:cs="Calibri"/>
          <w:lang w:eastAsia="en-AU"/>
        </w:rPr>
        <w:t>(2) In a civil proceeding, the Judge may not grant permission under subsection (1) if any unfairness caused to any other party by the granting of permission cannot be remedied by an adjournment or an award of costs, or both.</w:t>
      </w:r>
    </w:p>
    <w:p w14:paraId="7E3B66B1" w14:textId="77777777" w:rsidR="00727D5C" w:rsidRPr="00727D5C" w:rsidRDefault="00727D5C" w:rsidP="00727D5C">
      <w:pPr>
        <w:spacing w:after="0" w:line="240" w:lineRule="auto"/>
        <w:jc w:val="both"/>
        <w:rPr>
          <w:rFonts w:ascii="Calibri" w:eastAsia="Times New Roman" w:hAnsi="Calibri" w:cs="Calibri"/>
          <w:lang w:eastAsia="en-AU"/>
        </w:rPr>
      </w:pPr>
      <w:r w:rsidRPr="00727D5C">
        <w:rPr>
          <w:rFonts w:ascii="Calibri" w:eastAsia="Times New Roman" w:hAnsi="Calibri" w:cs="Calibri"/>
          <w:lang w:eastAsia="en-AU"/>
        </w:rPr>
        <w:br/>
        <w:t>(3) In a criminal proceeding, the Judge may grant permission to the prosecution under subsection (1) if:</w:t>
      </w:r>
    </w:p>
    <w:p w14:paraId="47DF96AD" w14:textId="77777777" w:rsidR="00727D5C" w:rsidRPr="00727D5C" w:rsidRDefault="00727D5C" w:rsidP="00727D5C">
      <w:pPr>
        <w:spacing w:after="0" w:line="240" w:lineRule="auto"/>
        <w:ind w:left="720"/>
        <w:jc w:val="both"/>
        <w:rPr>
          <w:rFonts w:ascii="Calibri" w:eastAsia="Times New Roman" w:hAnsi="Calibri" w:cs="Calibri"/>
          <w:lang w:eastAsia="en-AU"/>
        </w:rPr>
      </w:pPr>
      <w:r w:rsidRPr="00727D5C">
        <w:rPr>
          <w:rFonts w:ascii="Calibri" w:eastAsia="Times New Roman" w:hAnsi="Calibri" w:cs="Calibri"/>
          <w:lang w:eastAsia="en-AU"/>
        </w:rPr>
        <w:t>(a) the further evidence relates to a purely formal matter; or</w:t>
      </w:r>
    </w:p>
    <w:p w14:paraId="67A446C8" w14:textId="77777777" w:rsidR="00727D5C" w:rsidRPr="00727D5C" w:rsidRDefault="00727D5C" w:rsidP="00727D5C">
      <w:pPr>
        <w:spacing w:after="0" w:line="240" w:lineRule="auto"/>
        <w:ind w:left="720"/>
        <w:jc w:val="both"/>
        <w:rPr>
          <w:rFonts w:ascii="Calibri" w:eastAsia="Times New Roman" w:hAnsi="Calibri" w:cs="Calibri"/>
          <w:lang w:eastAsia="en-AU"/>
        </w:rPr>
      </w:pPr>
      <w:r w:rsidRPr="00727D5C">
        <w:rPr>
          <w:rFonts w:ascii="Calibri" w:eastAsia="Times New Roman" w:hAnsi="Calibri" w:cs="Calibri"/>
          <w:lang w:eastAsia="en-AU"/>
        </w:rPr>
        <w:t>(b) the further evidence relates to a matter arising out of the conduct of the defence, the relevance of which could not reasonably have been foreseen; or</w:t>
      </w:r>
    </w:p>
    <w:p w14:paraId="243C61FE" w14:textId="77777777" w:rsidR="00727D5C" w:rsidRPr="00727D5C" w:rsidRDefault="00727D5C" w:rsidP="00727D5C">
      <w:pPr>
        <w:spacing w:after="0" w:line="240" w:lineRule="auto"/>
        <w:ind w:left="720"/>
        <w:jc w:val="both"/>
        <w:rPr>
          <w:rFonts w:ascii="Calibri" w:eastAsia="Times New Roman" w:hAnsi="Calibri" w:cs="Calibri"/>
          <w:lang w:eastAsia="en-AU"/>
        </w:rPr>
      </w:pPr>
      <w:r w:rsidRPr="00727D5C">
        <w:rPr>
          <w:rFonts w:ascii="Calibri" w:eastAsia="Times New Roman" w:hAnsi="Calibri" w:cs="Calibri"/>
          <w:lang w:eastAsia="en-AU"/>
        </w:rPr>
        <w:lastRenderedPageBreak/>
        <w:t>(c) the further evidence was not available or admissible before the prosecution’s case was closed; or</w:t>
      </w:r>
    </w:p>
    <w:p w14:paraId="3B880000" w14:textId="77777777" w:rsidR="00727D5C" w:rsidRPr="00727D5C" w:rsidRDefault="00727D5C" w:rsidP="00727D5C">
      <w:pPr>
        <w:spacing w:after="0" w:line="240" w:lineRule="auto"/>
        <w:ind w:left="720"/>
        <w:jc w:val="both"/>
        <w:rPr>
          <w:rFonts w:ascii="Calibri" w:eastAsia="Times New Roman" w:hAnsi="Calibri" w:cs="Calibri"/>
          <w:lang w:eastAsia="en-AU"/>
        </w:rPr>
      </w:pPr>
      <w:r w:rsidRPr="00727D5C">
        <w:rPr>
          <w:rFonts w:ascii="Calibri" w:eastAsia="Times New Roman" w:hAnsi="Calibri" w:cs="Calibri"/>
          <w:lang w:eastAsia="en-AU"/>
        </w:rPr>
        <w:t>(d) for any other reason the interests of justice require the further evidence to be admitted.</w:t>
      </w:r>
    </w:p>
    <w:p w14:paraId="6B74D8B6" w14:textId="77777777" w:rsidR="00727D5C" w:rsidRPr="00727D5C" w:rsidRDefault="00727D5C" w:rsidP="00727D5C">
      <w:pPr>
        <w:spacing w:after="0" w:line="240" w:lineRule="auto"/>
        <w:jc w:val="both"/>
        <w:rPr>
          <w:rFonts w:ascii="Calibri" w:eastAsia="Times New Roman" w:hAnsi="Calibri" w:cs="Calibri"/>
          <w:lang w:eastAsia="en-AU"/>
        </w:rPr>
      </w:pPr>
      <w:r w:rsidRPr="00727D5C">
        <w:rPr>
          <w:rFonts w:ascii="Calibri" w:eastAsia="Times New Roman" w:hAnsi="Calibri" w:cs="Calibri"/>
          <w:lang w:eastAsia="en-AU"/>
        </w:rPr>
        <w:t>(4) In a criminal proceeding, the Judge may grant permission to a defendant under subsection (1) if the interests of justice require the further evidence to be admitted.</w:t>
      </w:r>
    </w:p>
    <w:p w14:paraId="7CAAC0B7" w14:textId="77777777" w:rsidR="00727D5C" w:rsidRPr="00727D5C" w:rsidRDefault="00727D5C" w:rsidP="00727D5C">
      <w:pPr>
        <w:spacing w:after="0" w:line="240" w:lineRule="auto"/>
        <w:jc w:val="both"/>
        <w:rPr>
          <w:rFonts w:ascii="Calibri" w:eastAsia="Times New Roman" w:hAnsi="Calibri" w:cs="Calibri"/>
          <w:bCs/>
          <w:lang w:eastAsia="en-AU"/>
        </w:rPr>
      </w:pPr>
      <w:r w:rsidRPr="00727D5C">
        <w:rPr>
          <w:rFonts w:ascii="Calibri" w:eastAsia="Times New Roman" w:hAnsi="Calibri" w:cs="Calibri"/>
          <w:bCs/>
          <w:lang w:eastAsia="en-AU"/>
        </w:rPr>
        <w:t>(5) The Judge may grant permission under subsection (1):</w:t>
      </w:r>
    </w:p>
    <w:p w14:paraId="3DB01D66" w14:textId="77777777" w:rsidR="00727D5C" w:rsidRPr="00727D5C" w:rsidRDefault="00727D5C" w:rsidP="00727D5C">
      <w:pPr>
        <w:spacing w:after="0" w:line="240" w:lineRule="auto"/>
        <w:ind w:left="720"/>
        <w:jc w:val="both"/>
        <w:rPr>
          <w:rFonts w:ascii="Calibri" w:eastAsia="Times New Roman" w:hAnsi="Calibri" w:cs="Calibri"/>
          <w:bCs/>
          <w:lang w:eastAsia="en-AU"/>
        </w:rPr>
      </w:pPr>
      <w:r w:rsidRPr="00727D5C">
        <w:rPr>
          <w:rFonts w:ascii="Calibri" w:eastAsia="Times New Roman" w:hAnsi="Calibri" w:cs="Calibri"/>
          <w:bCs/>
          <w:lang w:eastAsia="en-AU"/>
        </w:rPr>
        <w:t xml:space="preserve">(a) if there are assessors, at any time until the assessors retire to consider their verdict; </w:t>
      </w:r>
    </w:p>
    <w:p w14:paraId="2864A1B5" w14:textId="77777777" w:rsidR="00727D5C" w:rsidRPr="00727D5C" w:rsidRDefault="00727D5C" w:rsidP="00727D5C">
      <w:pPr>
        <w:spacing w:after="0" w:line="240" w:lineRule="auto"/>
        <w:ind w:left="720"/>
        <w:jc w:val="both"/>
        <w:rPr>
          <w:rFonts w:ascii="Calibri" w:eastAsia="Times New Roman" w:hAnsi="Calibri" w:cs="Calibri"/>
          <w:bCs/>
          <w:lang w:eastAsia="en-AU"/>
        </w:rPr>
      </w:pPr>
      <w:r w:rsidRPr="00727D5C">
        <w:rPr>
          <w:rFonts w:ascii="Calibri" w:eastAsia="Times New Roman" w:hAnsi="Calibri" w:cs="Calibri"/>
          <w:bCs/>
          <w:lang w:eastAsia="en-AU"/>
        </w:rPr>
        <w:t xml:space="preserve">(b) in any other proceeding, at any time until judgment is delivered. </w:t>
      </w:r>
    </w:p>
    <w:p w14:paraId="379C5374" w14:textId="77777777" w:rsidR="0045067A" w:rsidRPr="0045067A" w:rsidRDefault="0045067A" w:rsidP="0045067A">
      <w:pPr>
        <w:spacing w:after="0" w:line="240" w:lineRule="auto"/>
        <w:rPr>
          <w:rFonts w:eastAsia="Times New Roman" w:cs="Times New Roman"/>
          <w:sz w:val="23"/>
          <w:szCs w:val="24"/>
          <w:lang w:eastAsia="en-AU"/>
        </w:rPr>
      </w:pPr>
    </w:p>
    <w:p w14:paraId="033A538C" w14:textId="77777777" w:rsidR="0045067A" w:rsidRPr="0045067A" w:rsidRDefault="0045067A" w:rsidP="0045067A">
      <w:pPr>
        <w:spacing w:after="0" w:line="240" w:lineRule="auto"/>
        <w:rPr>
          <w:rFonts w:eastAsia="Times New Roman" w:cs="Times New Roman"/>
          <w:sz w:val="23"/>
          <w:szCs w:val="24"/>
          <w:lang w:eastAsia="en-AU"/>
        </w:rPr>
      </w:pPr>
    </w:p>
    <w:p w14:paraId="6FA3E37E" w14:textId="77777777" w:rsidR="0045067A" w:rsidRPr="0045067A" w:rsidRDefault="0045067A" w:rsidP="0045067A"/>
    <w:p w14:paraId="7D5B5D78" w14:textId="77777777" w:rsidR="00DD238F" w:rsidRDefault="00DD238F"/>
    <w:sectPr w:rsidR="00DD238F" w:rsidSect="00DD238F">
      <w:footerReference w:type="default" r:id="rId44"/>
      <w:pgSz w:w="11907" w:h="16840" w:code="9"/>
      <w:pgMar w:top="1588" w:right="1418" w:bottom="1985" w:left="1361" w:header="397"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0F7E" w14:textId="77777777" w:rsidR="00DD238F" w:rsidRDefault="00DD238F" w:rsidP="0045067A">
      <w:pPr>
        <w:spacing w:after="0" w:line="240" w:lineRule="auto"/>
      </w:pPr>
      <w:r>
        <w:separator/>
      </w:r>
    </w:p>
  </w:endnote>
  <w:endnote w:type="continuationSeparator" w:id="0">
    <w:p w14:paraId="417EE22A" w14:textId="77777777" w:rsidR="00DD238F" w:rsidRDefault="00DD238F" w:rsidP="00450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F490" w14:textId="07126435" w:rsidR="00DD238F" w:rsidRDefault="00DD238F">
    <w:pPr>
      <w:pStyle w:val="Footer"/>
      <w:jc w:val="right"/>
    </w:pPr>
    <w:r>
      <w:rPr>
        <w:noProof/>
        <w:lang w:eastAsia="en-AU"/>
      </w:rPr>
      <w:drawing>
        <wp:anchor distT="0" distB="0" distL="114300" distR="114300" simplePos="0" relativeHeight="251660800" behindDoc="1" locked="0" layoutInCell="1" allowOverlap="1" wp14:anchorId="621FD7E5" wp14:editId="7AAA4C65">
          <wp:simplePos x="0" y="0"/>
          <wp:positionH relativeFrom="margin">
            <wp:posOffset>-635</wp:posOffset>
          </wp:positionH>
          <wp:positionV relativeFrom="paragraph">
            <wp:posOffset>-369570</wp:posOffset>
          </wp:positionV>
          <wp:extent cx="5629910" cy="800100"/>
          <wp:effectExtent l="0" t="0" r="8890" b="0"/>
          <wp:wrapNone/>
          <wp:docPr id="33" name="Picture 3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2778458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60DA8">
          <w:rPr>
            <w:noProof/>
          </w:rPr>
          <w:t>3</w:t>
        </w:r>
        <w:r>
          <w:rPr>
            <w:noProof/>
          </w:rPr>
          <w:fldChar w:fldCharType="end"/>
        </w:r>
      </w:sdtContent>
    </w:sdt>
  </w:p>
  <w:p w14:paraId="740DF8F9" w14:textId="77777777" w:rsidR="00DD238F" w:rsidRDefault="00DD2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36F3" w14:textId="75FD3B66" w:rsidR="00DD238F" w:rsidRDefault="00DD238F">
    <w:pPr>
      <w:pStyle w:val="Footer"/>
      <w:jc w:val="right"/>
    </w:pPr>
    <w:r>
      <w:rPr>
        <w:noProof/>
        <w:lang w:eastAsia="en-AU"/>
      </w:rPr>
      <w:drawing>
        <wp:anchor distT="0" distB="0" distL="114300" distR="114300" simplePos="0" relativeHeight="251654656" behindDoc="1" locked="0" layoutInCell="1" allowOverlap="1" wp14:anchorId="73285AEF" wp14:editId="6E357F5A">
          <wp:simplePos x="0" y="0"/>
          <wp:positionH relativeFrom="column">
            <wp:posOffset>1228725</wp:posOffset>
          </wp:positionH>
          <wp:positionV relativeFrom="paragraph">
            <wp:posOffset>-227965</wp:posOffset>
          </wp:positionV>
          <wp:extent cx="5629910" cy="800100"/>
          <wp:effectExtent l="0" t="0" r="8890" b="0"/>
          <wp:wrapNone/>
          <wp:docPr id="61" name="Picture 6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1765591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60DA8">
          <w:rPr>
            <w:noProof/>
          </w:rPr>
          <w:t>5</w:t>
        </w:r>
        <w:r>
          <w:rPr>
            <w:noProof/>
          </w:rPr>
          <w:fldChar w:fldCharType="end"/>
        </w:r>
      </w:sdtContent>
    </w:sdt>
  </w:p>
  <w:p w14:paraId="743AF8E4" w14:textId="77777777" w:rsidR="00DD238F" w:rsidRDefault="00DD2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66BF" w14:textId="6ABE7434" w:rsidR="00DD238F" w:rsidRDefault="00DD238F">
    <w:pPr>
      <w:pStyle w:val="Footer"/>
      <w:jc w:val="right"/>
    </w:pPr>
    <w:r>
      <w:rPr>
        <w:noProof/>
        <w:lang w:eastAsia="en-AU"/>
      </w:rPr>
      <w:drawing>
        <wp:anchor distT="0" distB="0" distL="114300" distR="114300" simplePos="0" relativeHeight="251658752" behindDoc="0" locked="0" layoutInCell="1" allowOverlap="1" wp14:anchorId="594F9C74" wp14:editId="5E31E9A0">
          <wp:simplePos x="0" y="0"/>
          <wp:positionH relativeFrom="column">
            <wp:posOffset>2540</wp:posOffset>
          </wp:positionH>
          <wp:positionV relativeFrom="paragraph">
            <wp:posOffset>-302895</wp:posOffset>
          </wp:positionV>
          <wp:extent cx="5629910" cy="800100"/>
          <wp:effectExtent l="0" t="0" r="8890" b="0"/>
          <wp:wrapThrough wrapText="bothSides">
            <wp:wrapPolygon edited="0">
              <wp:start x="0" y="0"/>
              <wp:lineTo x="0" y="21086"/>
              <wp:lineTo x="21561" y="21086"/>
              <wp:lineTo x="21561" y="0"/>
              <wp:lineTo x="0" y="0"/>
            </wp:wrapPolygon>
          </wp:wrapThrough>
          <wp:docPr id="63" name="Picture 6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3256001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60DA8">
          <w:rPr>
            <w:noProof/>
          </w:rPr>
          <w:t>7</w:t>
        </w:r>
        <w:r>
          <w:rPr>
            <w:noProof/>
          </w:rPr>
          <w:fldChar w:fldCharType="end"/>
        </w:r>
      </w:sdtContent>
    </w:sdt>
  </w:p>
  <w:p w14:paraId="74C75ADE" w14:textId="77777777" w:rsidR="00DD238F" w:rsidRDefault="00DD23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AC4A" w14:textId="7CE26508" w:rsidR="00DD238F" w:rsidRDefault="00DD238F">
    <w:pPr>
      <w:pStyle w:val="Footer"/>
      <w:jc w:val="right"/>
    </w:pPr>
    <w:r>
      <w:rPr>
        <w:noProof/>
        <w:lang w:eastAsia="en-AU"/>
      </w:rPr>
      <w:drawing>
        <wp:anchor distT="0" distB="0" distL="114300" distR="114300" simplePos="0" relativeHeight="251655680" behindDoc="1" locked="0" layoutInCell="1" allowOverlap="1" wp14:anchorId="3BDC9703" wp14:editId="189A198C">
          <wp:simplePos x="0" y="0"/>
          <wp:positionH relativeFrom="column">
            <wp:posOffset>5715</wp:posOffset>
          </wp:positionH>
          <wp:positionV relativeFrom="paragraph">
            <wp:posOffset>-261620</wp:posOffset>
          </wp:positionV>
          <wp:extent cx="5629910" cy="800100"/>
          <wp:effectExtent l="0" t="0" r="889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45959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60DA8">
          <w:rPr>
            <w:noProof/>
          </w:rPr>
          <w:t>15</w:t>
        </w:r>
        <w:r>
          <w:rPr>
            <w:noProof/>
          </w:rPr>
          <w:fldChar w:fldCharType="end"/>
        </w:r>
      </w:sdtContent>
    </w:sdt>
  </w:p>
  <w:p w14:paraId="0C127771" w14:textId="77777777" w:rsidR="00DD238F" w:rsidRDefault="00DD2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F593" w14:textId="77777777" w:rsidR="00DD238F" w:rsidRDefault="00DD238F" w:rsidP="0045067A">
      <w:pPr>
        <w:spacing w:after="0" w:line="240" w:lineRule="auto"/>
      </w:pPr>
      <w:r>
        <w:separator/>
      </w:r>
    </w:p>
  </w:footnote>
  <w:footnote w:type="continuationSeparator" w:id="0">
    <w:p w14:paraId="4121A511" w14:textId="77777777" w:rsidR="00DD238F" w:rsidRDefault="00DD238F" w:rsidP="0045067A">
      <w:pPr>
        <w:spacing w:after="0" w:line="240" w:lineRule="auto"/>
      </w:pPr>
      <w:r>
        <w:continuationSeparator/>
      </w:r>
    </w:p>
  </w:footnote>
  <w:footnote w:id="1">
    <w:p w14:paraId="6AD2BFF6" w14:textId="77777777" w:rsidR="00DD238F" w:rsidRPr="00D445A3" w:rsidRDefault="00DD238F" w:rsidP="0045067A">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As outlined in the PJIP Judicial Officer Needs Assessment Survey Report, June 2022</w:t>
      </w:r>
    </w:p>
  </w:footnote>
  <w:footnote w:id="2">
    <w:p w14:paraId="321B31BC" w14:textId="77777777" w:rsidR="00DD238F" w:rsidRPr="00D445A3" w:rsidRDefault="00DD238F" w:rsidP="0045067A">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Fiji has a similarly worded provision</w:t>
      </w:r>
    </w:p>
  </w:footnote>
  <w:footnote w:id="3">
    <w:p w14:paraId="584FCC64" w14:textId="77777777" w:rsidR="00DD238F" w:rsidRDefault="00DD238F" w:rsidP="0045067A">
      <w:pPr>
        <w:pStyle w:val="FootnoteText"/>
      </w:pPr>
      <w:r>
        <w:rPr>
          <w:rStyle w:val="FootnoteReference"/>
          <w:rFonts w:eastAsiaTheme="majorEastAsia"/>
        </w:rPr>
        <w:footnoteRef/>
      </w:r>
      <w:r>
        <w:t xml:space="preserve"> </w:t>
      </w:r>
      <w:r w:rsidRPr="00380761">
        <w:rPr>
          <w:sz w:val="18"/>
        </w:rPr>
        <w:t>Prevention of Bribery Act 2007</w:t>
      </w:r>
    </w:p>
  </w:footnote>
  <w:footnote w:id="4">
    <w:p w14:paraId="08610308" w14:textId="77777777" w:rsidR="00DD238F" w:rsidRPr="00D445A3" w:rsidRDefault="00DD238F" w:rsidP="0045067A">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w:t>
      </w:r>
      <w:r w:rsidRPr="00D445A3">
        <w:rPr>
          <w:i/>
          <w:sz w:val="18"/>
          <w:szCs w:val="18"/>
        </w:rPr>
        <w:t>State v Gamato</w:t>
      </w:r>
      <w:r w:rsidRPr="00D445A3">
        <w:rPr>
          <w:sz w:val="18"/>
          <w:szCs w:val="18"/>
        </w:rPr>
        <w:t xml:space="preserve"> [2021] PGNC 485, 136 (Berrigan J).</w:t>
      </w:r>
    </w:p>
  </w:footnote>
  <w:footnote w:id="5">
    <w:p w14:paraId="0CBDF033" w14:textId="77777777" w:rsidR="00DD238F" w:rsidRPr="00C821B7" w:rsidRDefault="00DD238F" w:rsidP="0045067A">
      <w:pPr>
        <w:pStyle w:val="FootnoteText"/>
        <w:rPr>
          <w:sz w:val="18"/>
          <w:szCs w:val="18"/>
        </w:rPr>
      </w:pPr>
      <w:r w:rsidRPr="00C821B7">
        <w:rPr>
          <w:rStyle w:val="FootnoteReference"/>
          <w:rFonts w:eastAsiaTheme="majorEastAsia"/>
          <w:sz w:val="18"/>
          <w:szCs w:val="18"/>
        </w:rPr>
        <w:footnoteRef/>
      </w:r>
      <w:r w:rsidRPr="00C821B7">
        <w:rPr>
          <w:sz w:val="18"/>
          <w:szCs w:val="18"/>
        </w:rPr>
        <w:t xml:space="preserve"> </w:t>
      </w:r>
      <w:r>
        <w:rPr>
          <w:sz w:val="18"/>
          <w:szCs w:val="18"/>
        </w:rPr>
        <w:t xml:space="preserve">Further research into the case law will need to be undertaken to determine the position adopted in each jurisdiction. </w:t>
      </w:r>
    </w:p>
  </w:footnote>
  <w:footnote w:id="6">
    <w:p w14:paraId="6DB48108" w14:textId="77777777" w:rsidR="00DD238F" w:rsidRPr="00D445A3" w:rsidRDefault="00DD238F" w:rsidP="0045067A">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7">
    <w:p w14:paraId="40C70C10" w14:textId="77777777" w:rsidR="00DD238F" w:rsidRPr="00D445A3" w:rsidRDefault="00DD238F" w:rsidP="0045067A">
      <w:pPr>
        <w:rPr>
          <w:sz w:val="18"/>
          <w:szCs w:val="18"/>
        </w:rPr>
      </w:pPr>
      <w:r w:rsidRPr="00D445A3">
        <w:rPr>
          <w:rStyle w:val="FootnoteReference"/>
          <w:rFonts w:ascii="Times New Roman" w:hAnsi="Times New Roman"/>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8">
    <w:p w14:paraId="2F269AE7" w14:textId="77777777" w:rsidR="00DD238F" w:rsidRPr="00D445A3" w:rsidRDefault="00DD238F" w:rsidP="0045067A">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055" w14:textId="77777777" w:rsidR="00DD238F" w:rsidRDefault="00DD238F" w:rsidP="00DD238F">
    <w:pPr>
      <w:pStyle w:val="Header"/>
      <w:tabs>
        <w:tab w:val="clear" w:pos="4513"/>
        <w:tab w:val="clear" w:pos="9026"/>
        <w:tab w:val="left" w:pos="1275"/>
      </w:tabs>
      <w:rPr>
        <w:b/>
        <w:i/>
        <w:noProof/>
        <w:sz w:val="20"/>
        <w:szCs w:val="20"/>
      </w:rPr>
    </w:pPr>
    <w:r>
      <w:rPr>
        <w:rFonts w:cstheme="minorHAnsi"/>
        <w:noProof/>
        <w:lang w:eastAsia="en-AU"/>
      </w:rPr>
      <w:drawing>
        <wp:anchor distT="0" distB="0" distL="114300" distR="114300" simplePos="0" relativeHeight="251659776" behindDoc="1" locked="0" layoutInCell="1" allowOverlap="1" wp14:anchorId="1795B036" wp14:editId="6495CE7F">
          <wp:simplePos x="0" y="0"/>
          <wp:positionH relativeFrom="column">
            <wp:posOffset>1605915</wp:posOffset>
          </wp:positionH>
          <wp:positionV relativeFrom="paragraph">
            <wp:posOffset>-13970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602822AA" w14:textId="77777777" w:rsidR="00DD238F" w:rsidRPr="00ED22AF" w:rsidRDefault="00DD238F" w:rsidP="00DD238F">
    <w:pP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9D61" w14:textId="77777777" w:rsidR="00DD238F" w:rsidRDefault="00DD238F" w:rsidP="00DD238F">
    <w:pPr>
      <w:pStyle w:val="Header"/>
      <w:tabs>
        <w:tab w:val="clear" w:pos="4513"/>
        <w:tab w:val="clear" w:pos="9026"/>
        <w:tab w:val="left" w:pos="1275"/>
      </w:tabs>
      <w:rPr>
        <w:b/>
        <w:i/>
        <w:noProof/>
        <w:sz w:val="20"/>
        <w:szCs w:val="20"/>
      </w:rPr>
    </w:pPr>
    <w:r>
      <w:rPr>
        <w:rFonts w:cstheme="minorHAnsi"/>
        <w:noProof/>
        <w:lang w:eastAsia="en-AU"/>
      </w:rPr>
      <w:drawing>
        <wp:anchor distT="0" distB="0" distL="114300" distR="114300" simplePos="0" relativeHeight="251656704" behindDoc="1" locked="0" layoutInCell="1" allowOverlap="1" wp14:anchorId="7241C795" wp14:editId="609299EF">
          <wp:simplePos x="0" y="0"/>
          <wp:positionH relativeFrom="column">
            <wp:posOffset>3047365</wp:posOffset>
          </wp:positionH>
          <wp:positionV relativeFrom="paragraph">
            <wp:posOffset>-102870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0EA389FA" w14:textId="77777777" w:rsidR="00DD238F" w:rsidRPr="00ED22AF" w:rsidRDefault="00DD238F" w:rsidP="00DD238F">
    <w:pP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FB57" w14:textId="77777777" w:rsidR="00DD238F" w:rsidRDefault="00DD238F" w:rsidP="00DD238F">
    <w:pPr>
      <w:pStyle w:val="Header"/>
      <w:tabs>
        <w:tab w:val="clear" w:pos="4513"/>
        <w:tab w:val="clear" w:pos="9026"/>
        <w:tab w:val="left" w:pos="1275"/>
      </w:tabs>
      <w:rPr>
        <w:b/>
        <w:i/>
        <w:noProof/>
        <w:sz w:val="20"/>
        <w:szCs w:val="20"/>
      </w:rPr>
    </w:pPr>
    <w:r>
      <w:rPr>
        <w:rFonts w:cstheme="minorHAnsi"/>
        <w:noProof/>
        <w:lang w:eastAsia="en-AU"/>
      </w:rPr>
      <w:drawing>
        <wp:anchor distT="0" distB="0" distL="114300" distR="114300" simplePos="0" relativeHeight="251657728" behindDoc="1" locked="0" layoutInCell="1" allowOverlap="1" wp14:anchorId="15639BB4" wp14:editId="2959138C">
          <wp:simplePos x="0" y="0"/>
          <wp:positionH relativeFrom="margin">
            <wp:align>center</wp:align>
          </wp:positionH>
          <wp:positionV relativeFrom="paragraph">
            <wp:posOffset>-58420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4D5A1391" w14:textId="77777777" w:rsidR="00DD238F" w:rsidRPr="00ED22AF" w:rsidRDefault="00DD238F" w:rsidP="00DD23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CF0"/>
    <w:multiLevelType w:val="multilevel"/>
    <w:tmpl w:val="430EE8AC"/>
    <w:styleLink w:val="Style5"/>
    <w:lvl w:ilvl="0">
      <w:start w:val="1"/>
      <w:numFmt w:val="decimal"/>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782790"/>
    <w:multiLevelType w:val="hybridMultilevel"/>
    <w:tmpl w:val="462EBAB6"/>
    <w:lvl w:ilvl="0" w:tplc="0C090001">
      <w:start w:val="1"/>
      <w:numFmt w:val="bullet"/>
      <w:lvlText w:val=""/>
      <w:lvlJc w:val="left"/>
      <w:pPr>
        <w:ind w:left="720" w:hanging="360"/>
      </w:pPr>
      <w:rPr>
        <w:rFonts w:ascii="Symbol" w:hAnsi="Symbol" w:hint="default"/>
      </w:rPr>
    </w:lvl>
    <w:lvl w:ilvl="1" w:tplc="7FA096B4">
      <w:start w:val="1"/>
      <w:numFmt w:val="bullet"/>
      <w:lvlText w:val="o"/>
      <w:lvlJc w:val="left"/>
      <w:pPr>
        <w:ind w:left="1440" w:hanging="360"/>
      </w:pPr>
      <w:rPr>
        <w:rFonts w:ascii="Courier New" w:hAnsi="Courier New" w:cs="Courier New" w:hint="default"/>
        <w:color w:val="000000" w:themeColor="text1"/>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CD6F97"/>
    <w:multiLevelType w:val="multilevel"/>
    <w:tmpl w:val="85E6361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6B2625"/>
    <w:multiLevelType w:val="multilevel"/>
    <w:tmpl w:val="B5D8A0CE"/>
    <w:styleLink w:val="Theonlyliststylethatsworthanything"/>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ascii="Calibri" w:hAnsi="Calibri" w:hint="default"/>
        <w:b w:val="0"/>
        <w:i w:val="0"/>
        <w:color w:val="auto"/>
        <w:sz w:val="22"/>
        <w:u w:val="none"/>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483E67"/>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EA53F2"/>
    <w:multiLevelType w:val="multilevel"/>
    <w:tmpl w:val="C7BE7916"/>
    <w:lvl w:ilvl="0">
      <w:start w:val="1"/>
      <w:numFmt w:val="bullet"/>
      <w:lvlText w:val=""/>
      <w:lvlJc w:val="left"/>
      <w:pPr>
        <w:ind w:left="454" w:hanging="454"/>
      </w:pPr>
      <w:rPr>
        <w:rFonts w:ascii="Symbol" w:hAnsi="Symbol"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46185E"/>
    <w:multiLevelType w:val="multilevel"/>
    <w:tmpl w:val="548AA8FC"/>
    <w:styleLink w:val="Style4"/>
    <w:lvl w:ilvl="0">
      <w:start w:val="1"/>
      <w:numFmt w:val="lowerLetter"/>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93E0D3B"/>
    <w:multiLevelType w:val="multilevel"/>
    <w:tmpl w:val="0DCCBC76"/>
    <w:styleLink w:val="Style3"/>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upp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026D8D"/>
    <w:multiLevelType w:val="multilevel"/>
    <w:tmpl w:val="3EFCB836"/>
    <w:styleLink w:val="Style11"/>
    <w:lvl w:ilvl="0">
      <w:start w:val="9"/>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4C07E46"/>
    <w:multiLevelType w:val="multilevel"/>
    <w:tmpl w:val="8066329C"/>
    <w:styleLink w:val="Style2"/>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6B774B5"/>
    <w:multiLevelType w:val="multilevel"/>
    <w:tmpl w:val="63D6A836"/>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EB64520"/>
    <w:multiLevelType w:val="hybridMultilevel"/>
    <w:tmpl w:val="B7D29412"/>
    <w:lvl w:ilvl="0" w:tplc="221CE084">
      <w:start w:val="1"/>
      <w:numFmt w:val="bullet"/>
      <w:lvlText w:val=""/>
      <w:lvlJc w:val="left"/>
      <w:pPr>
        <w:ind w:left="454" w:hanging="45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1C80499"/>
    <w:multiLevelType w:val="multilevel"/>
    <w:tmpl w:val="85E6361A"/>
    <w:styleLink w:val="Style1"/>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7AB5801"/>
    <w:multiLevelType w:val="multilevel"/>
    <w:tmpl w:val="85E6361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BD25C6"/>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A468B4"/>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AF4E18"/>
    <w:multiLevelType w:val="hybridMultilevel"/>
    <w:tmpl w:val="533ED56C"/>
    <w:lvl w:ilvl="0" w:tplc="E3C0CC0A">
      <w:start w:val="1"/>
      <w:numFmt w:val="bullet"/>
      <w:lvlText w:val="-"/>
      <w:lvlJc w:val="left"/>
      <w:pPr>
        <w:ind w:left="-18310" w:hanging="360"/>
      </w:pPr>
      <w:rPr>
        <w:rFonts w:ascii="Calibri" w:hAnsi="Calibri" w:hint="default"/>
      </w:rPr>
    </w:lvl>
    <w:lvl w:ilvl="1" w:tplc="0C090003" w:tentative="1">
      <w:start w:val="1"/>
      <w:numFmt w:val="bullet"/>
      <w:lvlText w:val="o"/>
      <w:lvlJc w:val="left"/>
      <w:pPr>
        <w:ind w:left="-17590" w:hanging="360"/>
      </w:pPr>
      <w:rPr>
        <w:rFonts w:ascii="Courier New" w:hAnsi="Courier New" w:cs="Courier New" w:hint="default"/>
      </w:rPr>
    </w:lvl>
    <w:lvl w:ilvl="2" w:tplc="0C090005" w:tentative="1">
      <w:start w:val="1"/>
      <w:numFmt w:val="bullet"/>
      <w:lvlText w:val=""/>
      <w:lvlJc w:val="left"/>
      <w:pPr>
        <w:ind w:left="-16870" w:hanging="360"/>
      </w:pPr>
      <w:rPr>
        <w:rFonts w:ascii="Wingdings" w:hAnsi="Wingdings" w:hint="default"/>
      </w:rPr>
    </w:lvl>
    <w:lvl w:ilvl="3" w:tplc="0C090001" w:tentative="1">
      <w:start w:val="1"/>
      <w:numFmt w:val="bullet"/>
      <w:lvlText w:val=""/>
      <w:lvlJc w:val="left"/>
      <w:pPr>
        <w:ind w:left="-16150" w:hanging="360"/>
      </w:pPr>
      <w:rPr>
        <w:rFonts w:ascii="Symbol" w:hAnsi="Symbol" w:hint="default"/>
      </w:rPr>
    </w:lvl>
    <w:lvl w:ilvl="4" w:tplc="0C090003" w:tentative="1">
      <w:start w:val="1"/>
      <w:numFmt w:val="bullet"/>
      <w:lvlText w:val="o"/>
      <w:lvlJc w:val="left"/>
      <w:pPr>
        <w:ind w:left="-15430" w:hanging="360"/>
      </w:pPr>
      <w:rPr>
        <w:rFonts w:ascii="Courier New" w:hAnsi="Courier New" w:cs="Courier New" w:hint="default"/>
      </w:rPr>
    </w:lvl>
    <w:lvl w:ilvl="5" w:tplc="0C090005" w:tentative="1">
      <w:start w:val="1"/>
      <w:numFmt w:val="bullet"/>
      <w:lvlText w:val=""/>
      <w:lvlJc w:val="left"/>
      <w:pPr>
        <w:ind w:left="-14710" w:hanging="360"/>
      </w:pPr>
      <w:rPr>
        <w:rFonts w:ascii="Wingdings" w:hAnsi="Wingdings" w:hint="default"/>
      </w:rPr>
    </w:lvl>
    <w:lvl w:ilvl="6" w:tplc="0C090001" w:tentative="1">
      <w:start w:val="1"/>
      <w:numFmt w:val="bullet"/>
      <w:lvlText w:val=""/>
      <w:lvlJc w:val="left"/>
      <w:pPr>
        <w:ind w:left="-13990" w:hanging="360"/>
      </w:pPr>
      <w:rPr>
        <w:rFonts w:ascii="Symbol" w:hAnsi="Symbol" w:hint="default"/>
      </w:rPr>
    </w:lvl>
    <w:lvl w:ilvl="7" w:tplc="0C090003" w:tentative="1">
      <w:start w:val="1"/>
      <w:numFmt w:val="bullet"/>
      <w:lvlText w:val="o"/>
      <w:lvlJc w:val="left"/>
      <w:pPr>
        <w:ind w:left="-13270" w:hanging="360"/>
      </w:pPr>
      <w:rPr>
        <w:rFonts w:ascii="Courier New" w:hAnsi="Courier New" w:cs="Courier New" w:hint="default"/>
      </w:rPr>
    </w:lvl>
    <w:lvl w:ilvl="8" w:tplc="0C090005" w:tentative="1">
      <w:start w:val="1"/>
      <w:numFmt w:val="bullet"/>
      <w:lvlText w:val=""/>
      <w:lvlJc w:val="left"/>
      <w:pPr>
        <w:ind w:left="-12550" w:hanging="360"/>
      </w:pPr>
      <w:rPr>
        <w:rFonts w:ascii="Wingdings" w:hAnsi="Wingdings" w:hint="default"/>
      </w:rPr>
    </w:lvl>
  </w:abstractNum>
  <w:num w:numId="1" w16cid:durableId="2034722860">
    <w:abstractNumId w:val="1"/>
  </w:num>
  <w:num w:numId="2" w16cid:durableId="215243298">
    <w:abstractNumId w:val="8"/>
  </w:num>
  <w:num w:numId="3" w16cid:durableId="338238406">
    <w:abstractNumId w:val="5"/>
  </w:num>
  <w:num w:numId="4" w16cid:durableId="255283385">
    <w:abstractNumId w:val="11"/>
  </w:num>
  <w:num w:numId="5" w16cid:durableId="139199831">
    <w:abstractNumId w:val="12"/>
  </w:num>
  <w:num w:numId="6" w16cid:durableId="334461412">
    <w:abstractNumId w:val="10"/>
  </w:num>
  <w:num w:numId="7" w16cid:durableId="2079547530">
    <w:abstractNumId w:val="9"/>
  </w:num>
  <w:num w:numId="8" w16cid:durableId="1763258192">
    <w:abstractNumId w:val="7"/>
  </w:num>
  <w:num w:numId="9" w16cid:durableId="396781729">
    <w:abstractNumId w:val="6"/>
  </w:num>
  <w:num w:numId="10" w16cid:durableId="557938297">
    <w:abstractNumId w:val="3"/>
  </w:num>
  <w:num w:numId="11" w16cid:durableId="1631939887">
    <w:abstractNumId w:val="0"/>
  </w:num>
  <w:num w:numId="12" w16cid:durableId="1707565230">
    <w:abstractNumId w:val="13"/>
  </w:num>
  <w:num w:numId="13" w16cid:durableId="1673600708">
    <w:abstractNumId w:val="16"/>
  </w:num>
  <w:num w:numId="14" w16cid:durableId="1976790363">
    <w:abstractNumId w:val="14"/>
  </w:num>
  <w:num w:numId="15" w16cid:durableId="577788762">
    <w:abstractNumId w:val="4"/>
  </w:num>
  <w:num w:numId="16" w16cid:durableId="1886990530">
    <w:abstractNumId w:val="15"/>
  </w:num>
  <w:num w:numId="17" w16cid:durableId="161659748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121"/>
    <w:rsid w:val="00060DA8"/>
    <w:rsid w:val="000D56BE"/>
    <w:rsid w:val="000E269F"/>
    <w:rsid w:val="000E3D98"/>
    <w:rsid w:val="00122154"/>
    <w:rsid w:val="00124FCC"/>
    <w:rsid w:val="001F7B86"/>
    <w:rsid w:val="00202C7B"/>
    <w:rsid w:val="002C1625"/>
    <w:rsid w:val="002E6D5D"/>
    <w:rsid w:val="003B37CE"/>
    <w:rsid w:val="0045067A"/>
    <w:rsid w:val="004F710A"/>
    <w:rsid w:val="005F77BD"/>
    <w:rsid w:val="00693121"/>
    <w:rsid w:val="006B34EF"/>
    <w:rsid w:val="00727D5C"/>
    <w:rsid w:val="007A6EFD"/>
    <w:rsid w:val="007D1BD2"/>
    <w:rsid w:val="008344EB"/>
    <w:rsid w:val="00861D13"/>
    <w:rsid w:val="00954FF3"/>
    <w:rsid w:val="009A6F81"/>
    <w:rsid w:val="00A2241E"/>
    <w:rsid w:val="00B04E99"/>
    <w:rsid w:val="00C5335E"/>
    <w:rsid w:val="00C63871"/>
    <w:rsid w:val="00CC10BF"/>
    <w:rsid w:val="00CC46E6"/>
    <w:rsid w:val="00D56F26"/>
    <w:rsid w:val="00D7504F"/>
    <w:rsid w:val="00DB410D"/>
    <w:rsid w:val="00DD238F"/>
    <w:rsid w:val="00EC7106"/>
    <w:rsid w:val="00F118CD"/>
    <w:rsid w:val="00F340E0"/>
    <w:rsid w:val="00F45346"/>
    <w:rsid w:val="00FA7FEA"/>
    <w:rsid w:val="00FE08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9BE8"/>
  <w15:chartTrackingRefBased/>
  <w15:docId w15:val="{9358F142-4C61-4909-973A-C406DA7D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6BE"/>
    <w:pPr>
      <w:keepNext/>
      <w:spacing w:before="240" w:after="0" w:line="240" w:lineRule="auto"/>
      <w:ind w:left="709" w:hanging="709"/>
      <w:outlineLvl w:val="0"/>
    </w:pPr>
    <w:rPr>
      <w:rFonts w:eastAsiaTheme="minorEastAsia" w:cs="Times New Roman"/>
      <w:b/>
      <w:smallCaps/>
      <w:kern w:val="32"/>
      <w:sz w:val="27"/>
      <w:lang w:val="en-US"/>
    </w:rPr>
  </w:style>
  <w:style w:type="paragraph" w:styleId="Heading2">
    <w:name w:val="heading 2"/>
    <w:basedOn w:val="Normal"/>
    <w:next w:val="Normal"/>
    <w:link w:val="Heading2Char"/>
    <w:uiPriority w:val="9"/>
    <w:unhideWhenUsed/>
    <w:qFormat/>
    <w:rsid w:val="000D56B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AU"/>
    </w:rPr>
  </w:style>
  <w:style w:type="paragraph" w:styleId="Heading3">
    <w:name w:val="heading 3"/>
    <w:basedOn w:val="Normal"/>
    <w:next w:val="Normal"/>
    <w:link w:val="Heading3Char"/>
    <w:uiPriority w:val="9"/>
    <w:unhideWhenUsed/>
    <w:qFormat/>
    <w:rsid w:val="000D56BE"/>
    <w:pPr>
      <w:keepNext/>
      <w:keepLines/>
      <w:spacing w:before="200" w:after="0" w:line="240" w:lineRule="auto"/>
      <w:ind w:left="720" w:hanging="720"/>
      <w:outlineLvl w:val="2"/>
    </w:pPr>
    <w:rPr>
      <w:rFonts w:asciiTheme="majorHAnsi" w:eastAsiaTheme="majorEastAsia" w:hAnsiTheme="majorHAnsi" w:cstheme="majorBidi"/>
      <w:b/>
      <w:bCs/>
      <w:color w:val="000000" w:themeColor="text1"/>
      <w:sz w:val="23"/>
      <w:lang w:eastAsia="ja-JP"/>
    </w:rPr>
  </w:style>
  <w:style w:type="paragraph" w:styleId="Heading4">
    <w:name w:val="heading 4"/>
    <w:basedOn w:val="Normal"/>
    <w:next w:val="Normal"/>
    <w:link w:val="Heading4Char"/>
    <w:uiPriority w:val="9"/>
    <w:semiHidden/>
    <w:unhideWhenUsed/>
    <w:qFormat/>
    <w:rsid w:val="000D56BE"/>
    <w:pPr>
      <w:keepNext/>
      <w:keepLines/>
      <w:spacing w:before="200" w:after="0" w:line="240" w:lineRule="auto"/>
      <w:ind w:left="864" w:hanging="864"/>
      <w:outlineLvl w:val="3"/>
    </w:pPr>
    <w:rPr>
      <w:rFonts w:asciiTheme="majorHAnsi" w:eastAsiaTheme="majorEastAsia" w:hAnsiTheme="majorHAnsi" w:cstheme="majorBidi"/>
      <w:b/>
      <w:bCs/>
      <w:i/>
      <w:iCs/>
      <w:color w:val="000000" w:themeColor="text1"/>
      <w:sz w:val="23"/>
      <w:lang w:eastAsia="ja-JP"/>
    </w:rPr>
  </w:style>
  <w:style w:type="paragraph" w:styleId="Heading5">
    <w:name w:val="heading 5"/>
    <w:basedOn w:val="Normal"/>
    <w:next w:val="Normal"/>
    <w:link w:val="Heading5Char"/>
    <w:uiPriority w:val="9"/>
    <w:semiHidden/>
    <w:unhideWhenUsed/>
    <w:qFormat/>
    <w:rsid w:val="000D56BE"/>
    <w:pPr>
      <w:keepNext/>
      <w:keepLines/>
      <w:spacing w:before="200" w:after="0" w:line="240" w:lineRule="auto"/>
      <w:ind w:left="1008" w:hanging="1008"/>
      <w:outlineLvl w:val="4"/>
    </w:pPr>
    <w:rPr>
      <w:rFonts w:asciiTheme="majorHAnsi" w:eastAsiaTheme="majorEastAsia" w:hAnsiTheme="majorHAnsi" w:cstheme="majorBidi"/>
      <w:color w:val="323E4F" w:themeColor="text2" w:themeShade="BF"/>
      <w:sz w:val="23"/>
      <w:lang w:eastAsia="ja-JP"/>
    </w:rPr>
  </w:style>
  <w:style w:type="paragraph" w:styleId="Heading6">
    <w:name w:val="heading 6"/>
    <w:basedOn w:val="Normal"/>
    <w:next w:val="Normal"/>
    <w:link w:val="Heading6Char"/>
    <w:uiPriority w:val="9"/>
    <w:semiHidden/>
    <w:unhideWhenUsed/>
    <w:qFormat/>
    <w:rsid w:val="000D56BE"/>
    <w:pPr>
      <w:keepNext/>
      <w:keepLines/>
      <w:spacing w:before="200" w:after="0" w:line="240" w:lineRule="auto"/>
      <w:ind w:left="1152" w:hanging="1152"/>
      <w:outlineLvl w:val="5"/>
    </w:pPr>
    <w:rPr>
      <w:rFonts w:asciiTheme="majorHAnsi" w:eastAsiaTheme="majorEastAsia" w:hAnsiTheme="majorHAnsi" w:cstheme="majorBidi"/>
      <w:i/>
      <w:iCs/>
      <w:color w:val="323E4F" w:themeColor="text2" w:themeShade="BF"/>
      <w:sz w:val="23"/>
      <w:lang w:eastAsia="ja-JP"/>
    </w:rPr>
  </w:style>
  <w:style w:type="paragraph" w:styleId="Heading7">
    <w:name w:val="heading 7"/>
    <w:basedOn w:val="Normal"/>
    <w:next w:val="Normal"/>
    <w:link w:val="Heading7Char"/>
    <w:uiPriority w:val="9"/>
    <w:semiHidden/>
    <w:unhideWhenUsed/>
    <w:qFormat/>
    <w:rsid w:val="000D56BE"/>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 w:val="23"/>
      <w:lang w:eastAsia="ja-JP"/>
    </w:rPr>
  </w:style>
  <w:style w:type="paragraph" w:styleId="Heading8">
    <w:name w:val="heading 8"/>
    <w:basedOn w:val="Normal"/>
    <w:next w:val="Normal"/>
    <w:link w:val="Heading8Char"/>
    <w:uiPriority w:val="9"/>
    <w:semiHidden/>
    <w:unhideWhenUsed/>
    <w:qFormat/>
    <w:rsid w:val="000D56BE"/>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0D56BE"/>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67A"/>
  </w:style>
  <w:style w:type="paragraph" w:styleId="Footer">
    <w:name w:val="footer"/>
    <w:basedOn w:val="Normal"/>
    <w:link w:val="FooterChar"/>
    <w:uiPriority w:val="99"/>
    <w:unhideWhenUsed/>
    <w:rsid w:val="00450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67A"/>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Char Char Char Char,ft,fn"/>
    <w:basedOn w:val="Normal"/>
    <w:link w:val="FootnoteTextChar"/>
    <w:uiPriority w:val="99"/>
    <w:unhideWhenUsed/>
    <w:rsid w:val="0045067A"/>
    <w:pPr>
      <w:spacing w:after="0" w:line="240" w:lineRule="auto"/>
    </w:pPr>
    <w:rPr>
      <w:rFonts w:eastAsia="Times New Roman" w:cs="Times New Roman"/>
      <w:sz w:val="20"/>
      <w:szCs w:val="20"/>
      <w:lang w:eastAsia="en-AU"/>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t Char,fn Char"/>
    <w:basedOn w:val="DefaultParagraphFont"/>
    <w:link w:val="FootnoteText"/>
    <w:uiPriority w:val="99"/>
    <w:qFormat/>
    <w:rsid w:val="0045067A"/>
    <w:rPr>
      <w:rFonts w:eastAsia="Times New Roman" w:cs="Times New Roman"/>
      <w:sz w:val="20"/>
      <w:szCs w:val="20"/>
      <w:lang w:eastAsia="en-AU"/>
    </w:rPr>
  </w:style>
  <w:style w:type="character" w:styleId="FootnoteReference">
    <w:name w:val="footnote reference"/>
    <w:aliases w:val="BVI fnr,16 Point,Superscript 6 Point,ftref,fr,Footnote Reference Number,Footnote Ref in FtNote,Times 10 Point,Exposant 3 Point,Footnote symbol,Footnote reference number,EN Footnote Reference,note TESI,Footnote number,Ref, BVI fnr"/>
    <w:basedOn w:val="DefaultParagraphFont"/>
    <w:link w:val="BVIfnrCarCar"/>
    <w:uiPriority w:val="99"/>
    <w:unhideWhenUsed/>
    <w:qFormat/>
    <w:rsid w:val="0045067A"/>
    <w:rPr>
      <w:vertAlign w:val="superscript"/>
    </w:rPr>
  </w:style>
  <w:style w:type="table" w:styleId="TableGrid">
    <w:name w:val="Table Grid"/>
    <w:basedOn w:val="TableNormal"/>
    <w:uiPriority w:val="39"/>
    <w:rsid w:val="00450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Car">
    <w:name w:val="BVI fnr Car Car"/>
    <w:aliases w:val="BVI fnr Car, BVI fnr Car Car Car Car Char, BVI fnr Car Car Car Car Char Char Char Char Char,BVI fnr Car Car Car Car Char,BVI fnr Car Car Car Car Char Char Char Char Char"/>
    <w:basedOn w:val="Normal"/>
    <w:link w:val="FootnoteReference"/>
    <w:uiPriority w:val="99"/>
    <w:rsid w:val="0045067A"/>
    <w:pPr>
      <w:spacing w:line="240" w:lineRule="exact"/>
    </w:pPr>
    <w:rPr>
      <w:vertAlign w:val="superscript"/>
    </w:rPr>
  </w:style>
  <w:style w:type="table" w:customStyle="1" w:styleId="GridTable4-Accent111">
    <w:name w:val="Grid Table 4 - Accent 111"/>
    <w:basedOn w:val="TableNormal"/>
    <w:uiPriority w:val="49"/>
    <w:rsid w:val="0045067A"/>
    <w:pPr>
      <w:spacing w:after="0" w:line="240" w:lineRule="auto"/>
    </w:pPr>
    <w:rPr>
      <w:rFonts w:eastAsiaTheme="minorEastAsia"/>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11">
    <w:name w:val="Style11"/>
    <w:uiPriority w:val="99"/>
    <w:rsid w:val="0045067A"/>
    <w:pPr>
      <w:numPr>
        <w:numId w:val="2"/>
      </w:numPr>
    </w:pPr>
  </w:style>
  <w:style w:type="character" w:customStyle="1" w:styleId="Heading1Char">
    <w:name w:val="Heading 1 Char"/>
    <w:basedOn w:val="DefaultParagraphFont"/>
    <w:link w:val="Heading1"/>
    <w:uiPriority w:val="9"/>
    <w:rsid w:val="000D56BE"/>
    <w:rPr>
      <w:rFonts w:eastAsiaTheme="minorEastAsia" w:cs="Times New Roman"/>
      <w:b/>
      <w:smallCaps/>
      <w:kern w:val="32"/>
      <w:sz w:val="27"/>
      <w:lang w:val="en-US"/>
    </w:rPr>
  </w:style>
  <w:style w:type="character" w:customStyle="1" w:styleId="Heading2Char">
    <w:name w:val="Heading 2 Char"/>
    <w:basedOn w:val="DefaultParagraphFont"/>
    <w:link w:val="Heading2"/>
    <w:uiPriority w:val="9"/>
    <w:rsid w:val="000D56BE"/>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0D56BE"/>
    <w:rPr>
      <w:rFonts w:asciiTheme="majorHAnsi" w:eastAsiaTheme="majorEastAsia" w:hAnsiTheme="majorHAnsi" w:cstheme="majorBidi"/>
      <w:b/>
      <w:bCs/>
      <w:color w:val="000000" w:themeColor="text1"/>
      <w:sz w:val="23"/>
      <w:lang w:eastAsia="ja-JP"/>
    </w:rPr>
  </w:style>
  <w:style w:type="character" w:customStyle="1" w:styleId="Heading4Char">
    <w:name w:val="Heading 4 Char"/>
    <w:basedOn w:val="DefaultParagraphFont"/>
    <w:link w:val="Heading4"/>
    <w:uiPriority w:val="9"/>
    <w:semiHidden/>
    <w:rsid w:val="000D56BE"/>
    <w:rPr>
      <w:rFonts w:asciiTheme="majorHAnsi" w:eastAsiaTheme="majorEastAsia" w:hAnsiTheme="majorHAnsi" w:cstheme="majorBidi"/>
      <w:b/>
      <w:bCs/>
      <w:i/>
      <w:iCs/>
      <w:color w:val="000000" w:themeColor="text1"/>
      <w:sz w:val="23"/>
      <w:lang w:eastAsia="ja-JP"/>
    </w:rPr>
  </w:style>
  <w:style w:type="character" w:customStyle="1" w:styleId="Heading5Char">
    <w:name w:val="Heading 5 Char"/>
    <w:basedOn w:val="DefaultParagraphFont"/>
    <w:link w:val="Heading5"/>
    <w:uiPriority w:val="9"/>
    <w:semiHidden/>
    <w:rsid w:val="000D56BE"/>
    <w:rPr>
      <w:rFonts w:asciiTheme="majorHAnsi" w:eastAsiaTheme="majorEastAsia" w:hAnsiTheme="majorHAnsi" w:cstheme="majorBidi"/>
      <w:color w:val="323E4F" w:themeColor="text2" w:themeShade="BF"/>
      <w:sz w:val="23"/>
      <w:lang w:eastAsia="ja-JP"/>
    </w:rPr>
  </w:style>
  <w:style w:type="character" w:customStyle="1" w:styleId="Heading6Char">
    <w:name w:val="Heading 6 Char"/>
    <w:basedOn w:val="DefaultParagraphFont"/>
    <w:link w:val="Heading6"/>
    <w:uiPriority w:val="9"/>
    <w:semiHidden/>
    <w:rsid w:val="000D56BE"/>
    <w:rPr>
      <w:rFonts w:asciiTheme="majorHAnsi" w:eastAsiaTheme="majorEastAsia" w:hAnsiTheme="majorHAnsi" w:cstheme="majorBidi"/>
      <w:i/>
      <w:iCs/>
      <w:color w:val="323E4F" w:themeColor="text2" w:themeShade="BF"/>
      <w:sz w:val="23"/>
      <w:lang w:eastAsia="ja-JP"/>
    </w:rPr>
  </w:style>
  <w:style w:type="character" w:customStyle="1" w:styleId="Heading7Char">
    <w:name w:val="Heading 7 Char"/>
    <w:basedOn w:val="DefaultParagraphFont"/>
    <w:link w:val="Heading7"/>
    <w:uiPriority w:val="9"/>
    <w:semiHidden/>
    <w:rsid w:val="000D56BE"/>
    <w:rPr>
      <w:rFonts w:asciiTheme="majorHAnsi" w:eastAsiaTheme="majorEastAsia" w:hAnsiTheme="majorHAnsi" w:cstheme="majorBidi"/>
      <w:i/>
      <w:iCs/>
      <w:color w:val="404040" w:themeColor="text1" w:themeTint="BF"/>
      <w:sz w:val="23"/>
      <w:lang w:eastAsia="ja-JP"/>
    </w:rPr>
  </w:style>
  <w:style w:type="character" w:customStyle="1" w:styleId="Heading8Char">
    <w:name w:val="Heading 8 Char"/>
    <w:basedOn w:val="DefaultParagraphFont"/>
    <w:link w:val="Heading8"/>
    <w:uiPriority w:val="9"/>
    <w:semiHidden/>
    <w:rsid w:val="000D56BE"/>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0D56BE"/>
    <w:rPr>
      <w:rFonts w:asciiTheme="majorHAnsi" w:eastAsiaTheme="majorEastAsia" w:hAnsiTheme="majorHAnsi" w:cstheme="majorBidi"/>
      <w:i/>
      <w:iCs/>
      <w:color w:val="404040" w:themeColor="text1" w:themeTint="BF"/>
      <w:sz w:val="20"/>
      <w:szCs w:val="20"/>
      <w:lang w:eastAsia="ja-JP"/>
    </w:rPr>
  </w:style>
  <w:style w:type="character" w:styleId="CommentReference">
    <w:name w:val="annotation reference"/>
    <w:basedOn w:val="DefaultParagraphFont"/>
    <w:uiPriority w:val="99"/>
    <w:semiHidden/>
    <w:unhideWhenUsed/>
    <w:rsid w:val="000D56BE"/>
    <w:rPr>
      <w:sz w:val="16"/>
      <w:szCs w:val="16"/>
    </w:rPr>
  </w:style>
  <w:style w:type="paragraph" w:styleId="CommentText">
    <w:name w:val="annotation text"/>
    <w:basedOn w:val="Normal"/>
    <w:link w:val="CommentTextChar"/>
    <w:uiPriority w:val="99"/>
    <w:unhideWhenUsed/>
    <w:rsid w:val="000D56BE"/>
    <w:pPr>
      <w:spacing w:after="0" w:line="240" w:lineRule="auto"/>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0D56BE"/>
    <w:rPr>
      <w:rFonts w:ascii="Arial" w:eastAsia="Times New Roman" w:hAnsi="Arial" w:cs="Arial"/>
      <w:sz w:val="20"/>
      <w:szCs w:val="20"/>
      <w:lang w:eastAsia="en-AU"/>
    </w:rPr>
  </w:style>
  <w:style w:type="table" w:styleId="MediumList2-Accent1">
    <w:name w:val="Medium List 2 Accent 1"/>
    <w:basedOn w:val="TableNormal"/>
    <w:uiPriority w:val="66"/>
    <w:rsid w:val="000D56BE"/>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0D56BE"/>
    <w:pPr>
      <w:spacing w:after="0" w:line="288" w:lineRule="auto"/>
    </w:pPr>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0D56BE"/>
    <w:pPr>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0D56BE"/>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0D56BE"/>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0D56BE"/>
    <w:rPr>
      <w:rFonts w:ascii="Arial Narrow" w:eastAsia="Times New Roman" w:hAnsi="Arial Narrow" w:cs="Times New Roman"/>
      <w:b/>
      <w:bCs/>
      <w:sz w:val="20"/>
      <w:szCs w:val="20"/>
      <w:lang w:eastAsia="en-AU"/>
    </w:rPr>
  </w:style>
  <w:style w:type="paragraph" w:styleId="ListParagraph">
    <w:name w:val="List Paragraph"/>
    <w:aliases w:val="List Paragraph (numbered (a)),Bullets,List Paragraph1,WB Para,Table Bullet,Rec para,Dot pt,F5 List Paragraph,No Spacing1,List Paragraph Char Char Char,Indicator Text,Numbered Para 1,Colorful List - Accent 11,Bullet 1,MAIN CONTENT"/>
    <w:basedOn w:val="Normal"/>
    <w:link w:val="ListParagraphChar"/>
    <w:uiPriority w:val="34"/>
    <w:qFormat/>
    <w:rsid w:val="000D56BE"/>
    <w:pPr>
      <w:spacing w:after="0" w:line="240" w:lineRule="auto"/>
      <w:ind w:left="720"/>
      <w:contextualSpacing/>
    </w:pPr>
    <w:rPr>
      <w:rFonts w:ascii="Calibri" w:eastAsia="Times New Roman" w:hAnsi="Calibri" w:cs="Times New Roman"/>
      <w:sz w:val="23"/>
      <w:szCs w:val="24"/>
      <w:lang w:eastAsia="en-AU"/>
    </w:rPr>
  </w:style>
  <w:style w:type="character" w:styleId="Hyperlink">
    <w:name w:val="Hyperlink"/>
    <w:basedOn w:val="DefaultParagraphFont"/>
    <w:uiPriority w:val="99"/>
    <w:unhideWhenUsed/>
    <w:rsid w:val="000D56BE"/>
    <w:rPr>
      <w:color w:val="0563C1" w:themeColor="hyperlink"/>
      <w:u w:val="single"/>
    </w:rPr>
  </w:style>
  <w:style w:type="paragraph" w:styleId="NormalWeb">
    <w:name w:val="Normal (Web)"/>
    <w:basedOn w:val="Normal"/>
    <w:uiPriority w:val="99"/>
    <w:unhideWhenUsed/>
    <w:rsid w:val="000D56BE"/>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0D56BE"/>
    <w:rPr>
      <w:color w:val="954F72" w:themeColor="followedHyperlink"/>
      <w:u w:val="single"/>
    </w:rPr>
  </w:style>
  <w:style w:type="numbering" w:customStyle="1" w:styleId="Style1">
    <w:name w:val="Style1"/>
    <w:uiPriority w:val="99"/>
    <w:rsid w:val="000D56BE"/>
    <w:pPr>
      <w:numPr>
        <w:numId w:val="5"/>
      </w:numPr>
    </w:pPr>
  </w:style>
  <w:style w:type="numbering" w:customStyle="1" w:styleId="Style2">
    <w:name w:val="Style2"/>
    <w:uiPriority w:val="99"/>
    <w:rsid w:val="000D56BE"/>
    <w:pPr>
      <w:numPr>
        <w:numId w:val="7"/>
      </w:numPr>
    </w:pPr>
  </w:style>
  <w:style w:type="numbering" w:customStyle="1" w:styleId="Style3">
    <w:name w:val="Style3"/>
    <w:uiPriority w:val="99"/>
    <w:rsid w:val="000D56BE"/>
    <w:pPr>
      <w:numPr>
        <w:numId w:val="8"/>
      </w:numPr>
    </w:pPr>
  </w:style>
  <w:style w:type="numbering" w:customStyle="1" w:styleId="Style4">
    <w:name w:val="Style4"/>
    <w:uiPriority w:val="99"/>
    <w:rsid w:val="000D56BE"/>
    <w:pPr>
      <w:numPr>
        <w:numId w:val="9"/>
      </w:numPr>
    </w:pPr>
  </w:style>
  <w:style w:type="numbering" w:customStyle="1" w:styleId="Theonlyliststylethatsworthanything">
    <w:name w:val="The only list style that's worth anything"/>
    <w:uiPriority w:val="99"/>
    <w:rsid w:val="000D56BE"/>
    <w:pPr>
      <w:numPr>
        <w:numId w:val="10"/>
      </w:numPr>
    </w:pPr>
  </w:style>
  <w:style w:type="numbering" w:customStyle="1" w:styleId="Style5">
    <w:name w:val="Style5"/>
    <w:uiPriority w:val="99"/>
    <w:rsid w:val="000D56BE"/>
    <w:pPr>
      <w:numPr>
        <w:numId w:val="11"/>
      </w:numPr>
    </w:pPr>
  </w:style>
  <w:style w:type="paragraph" w:styleId="NoSpacing">
    <w:name w:val="No Spacing"/>
    <w:uiPriority w:val="1"/>
    <w:qFormat/>
    <w:rsid w:val="000D56BE"/>
    <w:pPr>
      <w:spacing w:after="0" w:line="240" w:lineRule="auto"/>
    </w:pPr>
    <w:rPr>
      <w:rFonts w:eastAsia="Times New Roman" w:cs="Times New Roman"/>
      <w:sz w:val="23"/>
      <w:szCs w:val="24"/>
      <w:lang w:eastAsia="en-AU"/>
    </w:rPr>
  </w:style>
  <w:style w:type="paragraph" w:styleId="Title">
    <w:name w:val="Title"/>
    <w:basedOn w:val="Normal"/>
    <w:next w:val="Normal"/>
    <w:link w:val="TitleChar"/>
    <w:uiPriority w:val="10"/>
    <w:qFormat/>
    <w:rsid w:val="000D56BE"/>
    <w:pPr>
      <w:spacing w:after="0"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0D56BE"/>
    <w:rPr>
      <w:rFonts w:asciiTheme="majorHAnsi" w:eastAsiaTheme="majorEastAsia" w:hAnsiTheme="majorHAnsi" w:cstheme="majorBidi"/>
      <w:color w:val="000000" w:themeColor="text1"/>
      <w:sz w:val="56"/>
      <w:szCs w:val="56"/>
      <w:lang w:eastAsia="ja-JP"/>
    </w:rPr>
  </w:style>
  <w:style w:type="paragraph" w:styleId="Subtitle">
    <w:name w:val="Subtitle"/>
    <w:basedOn w:val="Normal"/>
    <w:next w:val="Normal"/>
    <w:link w:val="SubtitleChar"/>
    <w:uiPriority w:val="11"/>
    <w:qFormat/>
    <w:rsid w:val="000D56BE"/>
    <w:pPr>
      <w:numPr>
        <w:ilvl w:val="1"/>
      </w:numPr>
      <w:spacing w:after="0" w:line="240" w:lineRule="auto"/>
    </w:pPr>
    <w:rPr>
      <w:rFonts w:eastAsiaTheme="minorEastAsia"/>
      <w:color w:val="5A5A5A" w:themeColor="text1" w:themeTint="A5"/>
      <w:spacing w:val="10"/>
      <w:sz w:val="23"/>
      <w:lang w:eastAsia="ja-JP"/>
    </w:rPr>
  </w:style>
  <w:style w:type="character" w:customStyle="1" w:styleId="SubtitleChar">
    <w:name w:val="Subtitle Char"/>
    <w:basedOn w:val="DefaultParagraphFont"/>
    <w:link w:val="Subtitle"/>
    <w:uiPriority w:val="11"/>
    <w:rsid w:val="000D56BE"/>
    <w:rPr>
      <w:rFonts w:eastAsiaTheme="minorEastAsia"/>
      <w:color w:val="5A5A5A" w:themeColor="text1" w:themeTint="A5"/>
      <w:spacing w:val="10"/>
      <w:sz w:val="23"/>
      <w:lang w:eastAsia="ja-JP"/>
    </w:rPr>
  </w:style>
  <w:style w:type="character" w:styleId="SubtleEmphasis">
    <w:name w:val="Subtle Emphasis"/>
    <w:basedOn w:val="DefaultParagraphFont"/>
    <w:uiPriority w:val="19"/>
    <w:qFormat/>
    <w:rsid w:val="000D56BE"/>
    <w:rPr>
      <w:i/>
      <w:iCs/>
      <w:color w:val="404040" w:themeColor="text1" w:themeTint="BF"/>
    </w:rPr>
  </w:style>
  <w:style w:type="character" w:styleId="Emphasis">
    <w:name w:val="Emphasis"/>
    <w:basedOn w:val="DefaultParagraphFont"/>
    <w:uiPriority w:val="20"/>
    <w:qFormat/>
    <w:rsid w:val="000D56BE"/>
    <w:rPr>
      <w:i/>
      <w:iCs/>
      <w:color w:val="auto"/>
    </w:rPr>
  </w:style>
  <w:style w:type="character" w:styleId="IntenseEmphasis">
    <w:name w:val="Intense Emphasis"/>
    <w:basedOn w:val="DefaultParagraphFont"/>
    <w:uiPriority w:val="21"/>
    <w:qFormat/>
    <w:rsid w:val="000D56BE"/>
    <w:rPr>
      <w:b/>
      <w:bCs/>
      <w:i/>
      <w:iCs/>
      <w:caps/>
    </w:rPr>
  </w:style>
  <w:style w:type="character" w:styleId="Strong">
    <w:name w:val="Strong"/>
    <w:basedOn w:val="DefaultParagraphFont"/>
    <w:uiPriority w:val="22"/>
    <w:qFormat/>
    <w:rsid w:val="000D56BE"/>
    <w:rPr>
      <w:b/>
      <w:bCs/>
      <w:color w:val="000000" w:themeColor="text1"/>
    </w:rPr>
  </w:style>
  <w:style w:type="paragraph" w:styleId="Quote">
    <w:name w:val="Quote"/>
    <w:basedOn w:val="Normal"/>
    <w:next w:val="Normal"/>
    <w:link w:val="QuoteChar"/>
    <w:uiPriority w:val="29"/>
    <w:qFormat/>
    <w:rsid w:val="000D56BE"/>
    <w:pPr>
      <w:spacing w:before="160" w:after="0" w:line="240" w:lineRule="auto"/>
      <w:ind w:left="720" w:right="720"/>
    </w:pPr>
    <w:rPr>
      <w:rFonts w:eastAsiaTheme="minorEastAsia"/>
      <w:i/>
      <w:iCs/>
      <w:color w:val="000000" w:themeColor="text1"/>
      <w:sz w:val="23"/>
      <w:lang w:eastAsia="ja-JP"/>
    </w:rPr>
  </w:style>
  <w:style w:type="character" w:customStyle="1" w:styleId="QuoteChar">
    <w:name w:val="Quote Char"/>
    <w:basedOn w:val="DefaultParagraphFont"/>
    <w:link w:val="Quote"/>
    <w:uiPriority w:val="29"/>
    <w:rsid w:val="000D56BE"/>
    <w:rPr>
      <w:rFonts w:eastAsiaTheme="minorEastAsia"/>
      <w:i/>
      <w:iCs/>
      <w:color w:val="000000" w:themeColor="text1"/>
      <w:sz w:val="23"/>
      <w:lang w:eastAsia="ja-JP"/>
    </w:rPr>
  </w:style>
  <w:style w:type="paragraph" w:styleId="IntenseQuote">
    <w:name w:val="Intense Quote"/>
    <w:basedOn w:val="Normal"/>
    <w:next w:val="Normal"/>
    <w:link w:val="IntenseQuoteChar"/>
    <w:uiPriority w:val="30"/>
    <w:qFormat/>
    <w:rsid w:val="000D56B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40" w:lineRule="auto"/>
      <w:ind w:left="936" w:right="936"/>
      <w:jc w:val="center"/>
    </w:pPr>
    <w:rPr>
      <w:rFonts w:eastAsiaTheme="minorEastAsia"/>
      <w:color w:val="000000" w:themeColor="text1"/>
      <w:sz w:val="23"/>
      <w:lang w:eastAsia="ja-JP"/>
    </w:rPr>
  </w:style>
  <w:style w:type="character" w:customStyle="1" w:styleId="IntenseQuoteChar">
    <w:name w:val="Intense Quote Char"/>
    <w:basedOn w:val="DefaultParagraphFont"/>
    <w:link w:val="IntenseQuote"/>
    <w:uiPriority w:val="30"/>
    <w:rsid w:val="000D56BE"/>
    <w:rPr>
      <w:rFonts w:eastAsiaTheme="minorEastAsia"/>
      <w:color w:val="000000" w:themeColor="text1"/>
      <w:sz w:val="23"/>
      <w:shd w:val="clear" w:color="auto" w:fill="F2F2F2" w:themeFill="background1" w:themeFillShade="F2"/>
      <w:lang w:eastAsia="ja-JP"/>
    </w:rPr>
  </w:style>
  <w:style w:type="character" w:styleId="SubtleReference">
    <w:name w:val="Subtle Reference"/>
    <w:basedOn w:val="DefaultParagraphFont"/>
    <w:uiPriority w:val="31"/>
    <w:qFormat/>
    <w:rsid w:val="000D56B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56BE"/>
    <w:rPr>
      <w:b/>
      <w:bCs/>
      <w:smallCaps/>
      <w:u w:val="single"/>
    </w:rPr>
  </w:style>
  <w:style w:type="character" w:styleId="BookTitle">
    <w:name w:val="Book Title"/>
    <w:basedOn w:val="DefaultParagraphFont"/>
    <w:uiPriority w:val="33"/>
    <w:qFormat/>
    <w:rsid w:val="000D56BE"/>
    <w:rPr>
      <w:b w:val="0"/>
      <w:bCs w:val="0"/>
      <w:smallCaps/>
      <w:spacing w:val="5"/>
    </w:rPr>
  </w:style>
  <w:style w:type="paragraph" w:styleId="Caption">
    <w:name w:val="caption"/>
    <w:basedOn w:val="Normal"/>
    <w:next w:val="Normal"/>
    <w:uiPriority w:val="35"/>
    <w:semiHidden/>
    <w:unhideWhenUsed/>
    <w:qFormat/>
    <w:rsid w:val="000D56BE"/>
    <w:pPr>
      <w:spacing w:after="200" w:line="240" w:lineRule="auto"/>
    </w:pPr>
    <w:rPr>
      <w:rFonts w:eastAsiaTheme="minorEastAsia"/>
      <w:i/>
      <w:iCs/>
      <w:color w:val="44546A" w:themeColor="text2"/>
      <w:sz w:val="18"/>
      <w:szCs w:val="18"/>
      <w:lang w:eastAsia="ja-JP"/>
    </w:rPr>
  </w:style>
  <w:style w:type="paragraph" w:styleId="TOCHeading">
    <w:name w:val="TOC Heading"/>
    <w:basedOn w:val="Heading1"/>
    <w:next w:val="Normal"/>
    <w:uiPriority w:val="39"/>
    <w:semiHidden/>
    <w:unhideWhenUsed/>
    <w:qFormat/>
    <w:rsid w:val="000D56BE"/>
    <w:pPr>
      <w:keepLines/>
      <w:pBdr>
        <w:bottom w:val="single" w:sz="4" w:space="1" w:color="595959" w:themeColor="text1" w:themeTint="A6"/>
      </w:pBdr>
      <w:spacing w:before="360"/>
      <w:ind w:left="0" w:firstLine="0"/>
      <w:outlineLvl w:val="9"/>
    </w:pPr>
    <w:rPr>
      <w:rFonts w:asciiTheme="majorHAnsi" w:eastAsiaTheme="majorEastAsia" w:hAnsiTheme="majorHAnsi" w:cstheme="majorBidi"/>
      <w:bCs/>
      <w:color w:val="000000" w:themeColor="text1"/>
      <w:kern w:val="0"/>
      <w:sz w:val="36"/>
      <w:szCs w:val="36"/>
      <w:lang w:val="en-AU" w:eastAsia="ja-JP"/>
    </w:rPr>
  </w:style>
  <w:style w:type="paragraph" w:styleId="TOC1">
    <w:name w:val="toc 1"/>
    <w:basedOn w:val="Normal"/>
    <w:next w:val="Normal"/>
    <w:autoRedefine/>
    <w:uiPriority w:val="39"/>
    <w:unhideWhenUsed/>
    <w:rsid w:val="000D56BE"/>
    <w:pPr>
      <w:spacing w:after="100" w:line="240" w:lineRule="auto"/>
    </w:pPr>
    <w:rPr>
      <w:rFonts w:eastAsiaTheme="minorEastAsia"/>
      <w:sz w:val="23"/>
      <w:lang w:eastAsia="ja-JP"/>
    </w:rPr>
  </w:style>
  <w:style w:type="paragraph" w:customStyle="1" w:styleId="Default">
    <w:name w:val="Default"/>
    <w:uiPriority w:val="99"/>
    <w:rsid w:val="000D56BE"/>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TOC2">
    <w:name w:val="toc 2"/>
    <w:basedOn w:val="Normal"/>
    <w:next w:val="Normal"/>
    <w:autoRedefine/>
    <w:uiPriority w:val="39"/>
    <w:unhideWhenUsed/>
    <w:rsid w:val="000D56BE"/>
    <w:pPr>
      <w:tabs>
        <w:tab w:val="right" w:leader="dot" w:pos="9017"/>
      </w:tabs>
      <w:spacing w:before="240" w:after="100" w:line="240" w:lineRule="auto"/>
    </w:pPr>
    <w:rPr>
      <w:rFonts w:eastAsiaTheme="minorEastAsia"/>
      <w:sz w:val="23"/>
      <w:lang w:eastAsia="ja-JP"/>
    </w:rPr>
  </w:style>
  <w:style w:type="character" w:styleId="HTMLCite">
    <w:name w:val="HTML Cite"/>
    <w:basedOn w:val="DefaultParagraphFont"/>
    <w:uiPriority w:val="99"/>
    <w:semiHidden/>
    <w:unhideWhenUsed/>
    <w:rsid w:val="000D56BE"/>
    <w:rPr>
      <w:i/>
      <w:iCs/>
    </w:rPr>
  </w:style>
  <w:style w:type="character" w:customStyle="1" w:styleId="ListParagraphChar">
    <w:name w:val="List Paragraph Char"/>
    <w:aliases w:val="List Paragraph (numbered (a)) Char,Bullets Char,List Paragraph1 Char,WB Para Char,Table Bullet Char,Rec para Char,Dot pt Char,F5 List Paragraph Char,No Spacing1 Char,List Paragraph Char Char Char Char,Indicator Text Char"/>
    <w:link w:val="ListParagraph"/>
    <w:uiPriority w:val="34"/>
    <w:qFormat/>
    <w:locked/>
    <w:rsid w:val="000D56BE"/>
    <w:rPr>
      <w:rFonts w:ascii="Calibri" w:eastAsia="Times New Roman" w:hAnsi="Calibri" w:cs="Times New Roman"/>
      <w:sz w:val="23"/>
      <w:szCs w:val="24"/>
      <w:lang w:eastAsia="en-AU"/>
    </w:rPr>
  </w:style>
  <w:style w:type="character" w:customStyle="1" w:styleId="UnresolvedMention1">
    <w:name w:val="Unresolved Mention1"/>
    <w:basedOn w:val="DefaultParagraphFont"/>
    <w:uiPriority w:val="99"/>
    <w:semiHidden/>
    <w:unhideWhenUsed/>
    <w:rsid w:val="000D56BE"/>
    <w:rPr>
      <w:color w:val="605E5C"/>
      <w:shd w:val="clear" w:color="auto" w:fill="E1DFDD"/>
    </w:rPr>
  </w:style>
  <w:style w:type="paragraph" w:styleId="BodyText">
    <w:name w:val="Body Text"/>
    <w:basedOn w:val="Normal"/>
    <w:link w:val="BodyTextChar"/>
    <w:uiPriority w:val="99"/>
    <w:unhideWhenUsed/>
    <w:rsid w:val="000D56BE"/>
    <w:pPr>
      <w:spacing w:after="120" w:line="240" w:lineRule="auto"/>
    </w:pPr>
    <w:rPr>
      <w:rFonts w:eastAsia="Times New Roman" w:cs="Times New Roman"/>
      <w:sz w:val="23"/>
      <w:szCs w:val="24"/>
      <w:lang w:val="en-GB" w:eastAsia="en-AU"/>
    </w:rPr>
  </w:style>
  <w:style w:type="character" w:customStyle="1" w:styleId="BodyTextChar">
    <w:name w:val="Body Text Char"/>
    <w:basedOn w:val="DefaultParagraphFont"/>
    <w:link w:val="BodyText"/>
    <w:uiPriority w:val="99"/>
    <w:rsid w:val="000D56BE"/>
    <w:rPr>
      <w:rFonts w:eastAsia="Times New Roman" w:cs="Times New Roman"/>
      <w:sz w:val="23"/>
      <w:szCs w:val="24"/>
      <w:lang w:val="en-GB" w:eastAsia="en-AU"/>
    </w:rPr>
  </w:style>
  <w:style w:type="paragraph" w:styleId="Revision">
    <w:name w:val="Revision"/>
    <w:hidden/>
    <w:uiPriority w:val="99"/>
    <w:semiHidden/>
    <w:rsid w:val="000D56BE"/>
    <w:pPr>
      <w:spacing w:after="0" w:line="240" w:lineRule="auto"/>
    </w:pPr>
    <w:rPr>
      <w:rFonts w:eastAsiaTheme="minorEastAsia"/>
      <w:sz w:val="23"/>
      <w:lang w:val="en-US" w:eastAsia="ja-JP"/>
    </w:rPr>
  </w:style>
  <w:style w:type="character" w:customStyle="1" w:styleId="fontstyle01">
    <w:name w:val="fontstyle01"/>
    <w:basedOn w:val="DefaultParagraphFont"/>
    <w:rsid w:val="000D56BE"/>
    <w:rPr>
      <w:rFonts w:ascii="Arial-BoldMT" w:hAnsi="Arial-BoldMT" w:hint="default"/>
      <w:b/>
      <w:bCs/>
      <w:i w:val="0"/>
      <w:iCs w:val="0"/>
      <w:color w:val="000000"/>
      <w:sz w:val="24"/>
      <w:szCs w:val="24"/>
    </w:rPr>
  </w:style>
  <w:style w:type="paragraph" w:customStyle="1" w:styleId="heading10">
    <w:name w:val="heading_1"/>
    <w:basedOn w:val="Normal"/>
    <w:rsid w:val="000D56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1">
    <w:name w:val="Normal1"/>
    <w:basedOn w:val="Normal"/>
    <w:rsid w:val="000D56BE"/>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Style12">
    <w:name w:val="Style12"/>
    <w:uiPriority w:val="99"/>
    <w:rsid w:val="001F7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aclii.org/pw/legis/num_act/pcotroprn9212013343/" TargetMode="External"/><Relationship Id="rId18" Type="http://schemas.openxmlformats.org/officeDocument/2006/relationships/hyperlink" Target="http://www.paclii.org/tk/legis/consol_act_2016/cpaer2003302/" TargetMode="External"/><Relationship Id="rId26" Type="http://schemas.openxmlformats.org/officeDocument/2006/relationships/footer" Target="footer2.xml"/><Relationship Id="rId39" Type="http://schemas.openxmlformats.org/officeDocument/2006/relationships/hyperlink" Target="http://www.paclii.org/ws/legis/consol_act_2016/ea201580/" TargetMode="External"/><Relationship Id="rId21" Type="http://schemas.openxmlformats.org/officeDocument/2006/relationships/header" Target="header1.xml"/><Relationship Id="rId34" Type="http://schemas.openxmlformats.org/officeDocument/2006/relationships/hyperlink" Target="http://www.palausupremecourt.net/upload/P1408/2238100824403.pdf" TargetMode="External"/><Relationship Id="rId42" Type="http://schemas.openxmlformats.org/officeDocument/2006/relationships/hyperlink" Target="https://ago.gov.to/cms/images/LEGISLATION/PRINCIPAL/1924/1924-0011/EvidenceAct_3.pdf" TargetMode="External"/><Relationship Id="rId7" Type="http://schemas.openxmlformats.org/officeDocument/2006/relationships/hyperlink" Target="http://www.paclii.org/fm/legis/consol_act_2014/c61/" TargetMode="External"/><Relationship Id="rId2" Type="http://schemas.openxmlformats.org/officeDocument/2006/relationships/styles" Target="styles.xml"/><Relationship Id="rId16" Type="http://schemas.openxmlformats.org/officeDocument/2006/relationships/hyperlink" Target="http://www.paclii.org/ws/legis/consol_act/ca201382/" TargetMode="External"/><Relationship Id="rId29" Type="http://schemas.openxmlformats.org/officeDocument/2006/relationships/hyperlink" Target="http://fsmlaw.org/fsm/code/title06/T06_Ch1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clii.org/ki/legis/consol_act/pc66/" TargetMode="External"/><Relationship Id="rId24" Type="http://schemas.openxmlformats.org/officeDocument/2006/relationships/hyperlink" Target="http://www.paclii.org/ws/legis/consol_act_2020/ca201382/" TargetMode="External"/><Relationship Id="rId32" Type="http://schemas.openxmlformats.org/officeDocument/2006/relationships/hyperlink" Target="http://www.paclii.org/ki/legis/num_act/ea200380/" TargetMode="External"/><Relationship Id="rId37" Type="http://schemas.openxmlformats.org/officeDocument/2006/relationships/hyperlink" Target="http://www.paclii.org/pg/rules/ct_rules/cprfcro2013542/" TargetMode="External"/><Relationship Id="rId40" Type="http://schemas.openxmlformats.org/officeDocument/2006/relationships/hyperlink" Target="http://www.paclii.org/sb/legis/num_act/ea20098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aclii.org/mh/legis/consol_act/cc201194/" TargetMode="External"/><Relationship Id="rId23" Type="http://schemas.openxmlformats.org/officeDocument/2006/relationships/hyperlink" Target="http://www.paclii.org/ws/legis/consol_act/ca201382/" TargetMode="External"/><Relationship Id="rId28" Type="http://schemas.openxmlformats.org/officeDocument/2006/relationships/footer" Target="footer3.xml"/><Relationship Id="rId36" Type="http://schemas.openxmlformats.org/officeDocument/2006/relationships/hyperlink" Target="http://www.parliament.gov.pg/uploads/acts/21A_38.pdf" TargetMode="External"/><Relationship Id="rId10" Type="http://schemas.openxmlformats.org/officeDocument/2006/relationships/hyperlink" Target="http://www.paclii.org/fj/legis/consol_act/pc66/" TargetMode="External"/><Relationship Id="rId19" Type="http://schemas.openxmlformats.org/officeDocument/2006/relationships/hyperlink" Target="http://www.paclii.org/to/legis/consol_act/co136/" TargetMode="External"/><Relationship Id="rId31" Type="http://schemas.openxmlformats.org/officeDocument/2006/relationships/hyperlink" Target="http://www.paclii.org/fj/legis/consol_act/ea80/" TargetMode="Externa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laws.gov.fj/Acts/DisplayAct/805" TargetMode="External"/><Relationship Id="rId14" Type="http://schemas.openxmlformats.org/officeDocument/2006/relationships/hyperlink" Target="http://www.paclii.org/pg/legis/consol_act/cca1974115/"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yperlink" Target="http://www.paclii.org/fm/rules/ct_rules/roe1991148/" TargetMode="External"/><Relationship Id="rId35" Type="http://schemas.openxmlformats.org/officeDocument/2006/relationships/hyperlink" Target="http://www.paclii.org/pg/legis/consol_act/ea197580/" TargetMode="External"/><Relationship Id="rId43" Type="http://schemas.openxmlformats.org/officeDocument/2006/relationships/hyperlink" Target="http://www.paclii.org/vu/legis/consol_act/cpc190/" TargetMode="External"/><Relationship Id="rId8" Type="http://schemas.openxmlformats.org/officeDocument/2006/relationships/hyperlink" Target="https://laws.gov.fj/Acts/DisplayAct/3164" TargetMode="External"/><Relationship Id="rId3" Type="http://schemas.openxmlformats.org/officeDocument/2006/relationships/settings" Target="settings.xml"/><Relationship Id="rId12" Type="http://schemas.openxmlformats.org/officeDocument/2006/relationships/hyperlink" Target="http://ronlaw.gov.nr/nauru_lpms/files/acts/e2442d0ac792b90dbeef1b71fd552ee3.pdf" TargetMode="External"/><Relationship Id="rId17" Type="http://schemas.openxmlformats.org/officeDocument/2006/relationships/hyperlink" Target="http://www.paclii.org/sb/legis/consol_act/pc66/" TargetMode="External"/><Relationship Id="rId25" Type="http://schemas.openxmlformats.org/officeDocument/2006/relationships/header" Target="header2.xml"/><Relationship Id="rId33" Type="http://schemas.openxmlformats.org/officeDocument/2006/relationships/hyperlink" Target="http://www.paclii.org/nr/legis/num_act/cpa2020268/" TargetMode="External"/><Relationship Id="rId38" Type="http://schemas.openxmlformats.org/officeDocument/2006/relationships/hyperlink" Target="http://www.paclii.org/mh/legis/consol_act_2012_sup/ea198980/" TargetMode="External"/><Relationship Id="rId46" Type="http://schemas.openxmlformats.org/officeDocument/2006/relationships/theme" Target="theme/theme1.xml"/><Relationship Id="rId20" Type="http://schemas.openxmlformats.org/officeDocument/2006/relationships/hyperlink" Target="http://www.paclii.org/vu/legis/consol_act/pc66/" TargetMode="External"/><Relationship Id="rId41" Type="http://schemas.openxmlformats.org/officeDocument/2006/relationships/hyperlink" Target="http://www.paclii.org/tk/legis/consol_act_2016/cpaer200330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5147</Words>
  <Characters>29343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34422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Theodore</dc:creator>
  <cp:keywords/>
  <dc:description/>
  <cp:lastModifiedBy>Nicole Cherry</cp:lastModifiedBy>
  <cp:revision>27</cp:revision>
  <dcterms:created xsi:type="dcterms:W3CDTF">2022-11-29T23:03:00Z</dcterms:created>
  <dcterms:modified xsi:type="dcterms:W3CDTF">2023-10-05T04:02:00Z</dcterms:modified>
</cp:coreProperties>
</file>